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0" w:rsidRDefault="00DC57C0">
      <w:pPr>
        <w:pStyle w:val="ConsPlusTitlePage"/>
      </w:pPr>
      <w:r>
        <w:t xml:space="preserve">Документ предоставлен </w:t>
      </w:r>
      <w:hyperlink r:id="rId5">
        <w:r>
          <w:rPr>
            <w:color w:val="0000FF"/>
          </w:rPr>
          <w:t>КонсультантПлюс</w:t>
        </w:r>
      </w:hyperlink>
      <w:r>
        <w:br/>
      </w:r>
    </w:p>
    <w:p w:rsidR="00DC57C0" w:rsidRDefault="00DC57C0">
      <w:pPr>
        <w:pStyle w:val="ConsPlusNormal"/>
        <w:jc w:val="both"/>
        <w:outlineLvl w:val="0"/>
      </w:pPr>
    </w:p>
    <w:p w:rsidR="00DC57C0" w:rsidRDefault="00DC57C0">
      <w:pPr>
        <w:pStyle w:val="ConsPlusNormal"/>
        <w:outlineLvl w:val="0"/>
      </w:pPr>
      <w:r>
        <w:t>Зарегистрировано в Минюсте России 29 ноября 2022 г. N 71201</w:t>
      </w:r>
    </w:p>
    <w:p w:rsidR="00DC57C0" w:rsidRDefault="00DC57C0">
      <w:pPr>
        <w:pStyle w:val="ConsPlusNormal"/>
        <w:pBdr>
          <w:bottom w:val="single" w:sz="6" w:space="0" w:color="auto"/>
        </w:pBdr>
        <w:spacing w:before="100" w:after="100"/>
        <w:jc w:val="both"/>
        <w:rPr>
          <w:sz w:val="2"/>
          <w:szCs w:val="2"/>
        </w:rPr>
      </w:pPr>
    </w:p>
    <w:p w:rsidR="00DC57C0" w:rsidRDefault="00DC57C0">
      <w:pPr>
        <w:pStyle w:val="ConsPlusNormal"/>
        <w:jc w:val="both"/>
      </w:pPr>
    </w:p>
    <w:p w:rsidR="00DC57C0" w:rsidRDefault="00DC57C0">
      <w:pPr>
        <w:pStyle w:val="ConsPlusTitle"/>
        <w:jc w:val="center"/>
      </w:pPr>
      <w:r>
        <w:t>МИНИСТЕРСТВО СЕЛЬСКОГО ХОЗЯЙСТВА РОССИЙСКОЙ ФЕДЕРАЦИИ</w:t>
      </w:r>
    </w:p>
    <w:p w:rsidR="00DC57C0" w:rsidRDefault="00DC57C0">
      <w:pPr>
        <w:pStyle w:val="ConsPlusTitle"/>
        <w:jc w:val="center"/>
      </w:pPr>
    </w:p>
    <w:p w:rsidR="00DC57C0" w:rsidRDefault="00DC57C0">
      <w:pPr>
        <w:pStyle w:val="ConsPlusTitle"/>
        <w:jc w:val="center"/>
      </w:pPr>
      <w:r>
        <w:t>ПРИКАЗ</w:t>
      </w:r>
    </w:p>
    <w:p w:rsidR="00DC57C0" w:rsidRDefault="00DC57C0">
      <w:pPr>
        <w:pStyle w:val="ConsPlusTitle"/>
        <w:jc w:val="center"/>
      </w:pPr>
      <w:r>
        <w:t>от 14 сентября 2022 г. N 612</w:t>
      </w:r>
    </w:p>
    <w:p w:rsidR="00DC57C0" w:rsidRDefault="00DC57C0">
      <w:pPr>
        <w:pStyle w:val="ConsPlusTitle"/>
        <w:jc w:val="center"/>
      </w:pPr>
    </w:p>
    <w:p w:rsidR="00DC57C0" w:rsidRDefault="00DC57C0">
      <w:pPr>
        <w:pStyle w:val="ConsPlusTitle"/>
        <w:jc w:val="center"/>
      </w:pPr>
      <w:r>
        <w:t>ОБ УТВЕРЖДЕНИИ ПРЕДЕЛЬНЫХ ЗНАЧЕНИЙ</w:t>
      </w:r>
    </w:p>
    <w:p w:rsidR="00DC57C0" w:rsidRDefault="00DC57C0">
      <w:pPr>
        <w:pStyle w:val="ConsPlusTitle"/>
        <w:jc w:val="center"/>
      </w:pPr>
      <w:r>
        <w:t>СТОИМОСТИ ЕДИНИЦ МОЩНОСТИ ОБЪЕКТОВ ПО ПЕРЕРАБОТКЕ</w:t>
      </w:r>
    </w:p>
    <w:p w:rsidR="00DC57C0" w:rsidRDefault="00DC57C0">
      <w:pPr>
        <w:pStyle w:val="ConsPlusTitle"/>
        <w:jc w:val="center"/>
      </w:pPr>
      <w:r>
        <w:t>СЕЛЬСКОХОЗЯЙСТВЕННОЙ ПРОДУКЦИИ</w:t>
      </w:r>
    </w:p>
    <w:p w:rsidR="00DC57C0" w:rsidRDefault="00DC57C0">
      <w:pPr>
        <w:pStyle w:val="ConsPlusNormal"/>
        <w:jc w:val="both"/>
      </w:pPr>
    </w:p>
    <w:p w:rsidR="00DC57C0" w:rsidRDefault="00DC57C0">
      <w:pPr>
        <w:pStyle w:val="ConsPlusNormal"/>
        <w:ind w:firstLine="540"/>
        <w:jc w:val="both"/>
      </w:pPr>
      <w:proofErr w:type="gramStart"/>
      <w:r>
        <w:t xml:space="preserve">В соответствии с </w:t>
      </w:r>
      <w:hyperlink r:id="rId6">
        <w:r>
          <w:rPr>
            <w:color w:val="0000FF"/>
          </w:rPr>
          <w:t>пунктом 8</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w:t>
      </w:r>
      <w:proofErr w:type="gramEnd"/>
      <w:r>
        <w:t xml:space="preserve"> российским организациям, осуществляющим создание и (или) модернизацию объектов по переработке сельскохозяйственной продукции, утвержденных постановлением Правительства Российской Федерации от 12 февраля 2020 г. N 137 (Собрание законодательства Российской Федерации, 2020, N 7, ст. 861; 2022, N 9, ст. 1311), приказываю:</w:t>
      </w:r>
    </w:p>
    <w:p w:rsidR="00DC57C0" w:rsidRDefault="00DC57C0">
      <w:pPr>
        <w:pStyle w:val="ConsPlusNormal"/>
        <w:spacing w:before="220"/>
        <w:ind w:firstLine="540"/>
        <w:jc w:val="both"/>
      </w:pPr>
      <w:r>
        <w:t xml:space="preserve">1. Утвердить прилагаемые предельные </w:t>
      </w:r>
      <w:hyperlink w:anchor="P31">
        <w:r>
          <w:rPr>
            <w:color w:val="0000FF"/>
          </w:rPr>
          <w:t>значения</w:t>
        </w:r>
      </w:hyperlink>
      <w:r>
        <w:t xml:space="preserve"> стоимости единиц мощности объектов по переработке сельскохозяйственной продукции.</w:t>
      </w:r>
    </w:p>
    <w:p w:rsidR="00DC57C0" w:rsidRDefault="00DC57C0">
      <w:pPr>
        <w:pStyle w:val="ConsPlusNormal"/>
        <w:spacing w:before="220"/>
        <w:ind w:firstLine="540"/>
        <w:jc w:val="both"/>
      </w:pPr>
      <w:r>
        <w:t>2. Признать утратившими силу:</w:t>
      </w:r>
    </w:p>
    <w:p w:rsidR="00DC57C0" w:rsidRDefault="00DC57C0">
      <w:pPr>
        <w:pStyle w:val="ConsPlusNormal"/>
        <w:spacing w:before="220"/>
        <w:ind w:firstLine="540"/>
        <w:jc w:val="both"/>
      </w:pPr>
      <w:hyperlink r:id="rId7">
        <w:r>
          <w:rPr>
            <w:color w:val="0000FF"/>
          </w:rPr>
          <w:t>приказ</w:t>
        </w:r>
      </w:hyperlink>
      <w:r>
        <w:t xml:space="preserve"> Министерства сельского хозяйства Российской Федерации от 12 ноября 2020 г. N 677 "Об утверждении предельных </w:t>
      </w:r>
      <w:proofErr w:type="gramStart"/>
      <w:r>
        <w:t>значений стоимости единиц мощности объектов</w:t>
      </w:r>
      <w:proofErr w:type="gramEnd"/>
      <w:r>
        <w:t xml:space="preserve"> по переработке сельскохозяйственной продукции" (зарегистрирован Министерством юстиции Российской Федерации 15 декабря 2020 г., регистрационный N 61481);</w:t>
      </w:r>
    </w:p>
    <w:p w:rsidR="00DC57C0" w:rsidRDefault="00DC57C0">
      <w:pPr>
        <w:pStyle w:val="ConsPlusNormal"/>
        <w:spacing w:before="220"/>
        <w:ind w:firstLine="540"/>
        <w:jc w:val="both"/>
      </w:pPr>
      <w:hyperlink r:id="rId8">
        <w:r>
          <w:rPr>
            <w:color w:val="0000FF"/>
          </w:rPr>
          <w:t>приказ</w:t>
        </w:r>
      </w:hyperlink>
      <w:r>
        <w:t xml:space="preserve"> Министерства сельского хозяйства Российской Федерации от 20 августа 2021 г. N 576 "О внесении изменения в предельные значения стоимости единиц мощности объектов по переработке сельскохозяйственной продукции, утвержденные приказом Минсельхоза России от 12 ноября 2020 г. N 677" (зарегистрирован Министерством юстиции Российской Федерации 23 сентября 2021 г., регистрационный N 65116).</w:t>
      </w:r>
    </w:p>
    <w:p w:rsidR="00DC57C0" w:rsidRDefault="00DC57C0">
      <w:pPr>
        <w:pStyle w:val="ConsPlusNormal"/>
        <w:spacing w:before="220"/>
        <w:ind w:firstLine="540"/>
        <w:jc w:val="both"/>
      </w:pPr>
      <w:r>
        <w:t>3. Настоящий приказ действует до 31 декабря 2023 г. включительно.</w:t>
      </w:r>
    </w:p>
    <w:p w:rsidR="00DC57C0" w:rsidRDefault="00DC57C0">
      <w:pPr>
        <w:pStyle w:val="ConsPlusNormal"/>
        <w:jc w:val="both"/>
      </w:pPr>
    </w:p>
    <w:p w:rsidR="00DC57C0" w:rsidRDefault="00DC57C0">
      <w:pPr>
        <w:pStyle w:val="ConsPlusNormal"/>
        <w:jc w:val="right"/>
      </w:pPr>
      <w:r>
        <w:t>И.о. Министра</w:t>
      </w:r>
    </w:p>
    <w:p w:rsidR="00DC57C0" w:rsidRDefault="00DC57C0">
      <w:pPr>
        <w:pStyle w:val="ConsPlusNormal"/>
        <w:jc w:val="right"/>
      </w:pPr>
      <w:r>
        <w:t>М.И.АФОНИНА</w:t>
      </w:r>
    </w:p>
    <w:p w:rsidR="00DC57C0" w:rsidRDefault="00DC57C0">
      <w:pPr>
        <w:pStyle w:val="ConsPlusNormal"/>
        <w:jc w:val="both"/>
      </w:pPr>
    </w:p>
    <w:p w:rsidR="00DC57C0" w:rsidRDefault="00DC57C0">
      <w:pPr>
        <w:pStyle w:val="ConsPlusNormal"/>
        <w:jc w:val="both"/>
      </w:pPr>
    </w:p>
    <w:p w:rsidR="00DC57C0" w:rsidRDefault="00DC57C0">
      <w:pPr>
        <w:pStyle w:val="ConsPlusNormal"/>
        <w:jc w:val="both"/>
      </w:pPr>
    </w:p>
    <w:p w:rsidR="00DC57C0" w:rsidRDefault="00DC57C0">
      <w:pPr>
        <w:pStyle w:val="ConsPlusNormal"/>
        <w:jc w:val="both"/>
      </w:pPr>
    </w:p>
    <w:p w:rsidR="00DC57C0" w:rsidRDefault="00DC57C0">
      <w:pPr>
        <w:pStyle w:val="ConsPlusNormal"/>
        <w:jc w:val="both"/>
      </w:pPr>
    </w:p>
    <w:p w:rsidR="00DC57C0" w:rsidRDefault="00DC57C0">
      <w:pPr>
        <w:pStyle w:val="ConsPlusNormal"/>
        <w:jc w:val="right"/>
        <w:outlineLvl w:val="0"/>
      </w:pPr>
      <w:r>
        <w:t>Утверждены</w:t>
      </w:r>
    </w:p>
    <w:p w:rsidR="00DC57C0" w:rsidRDefault="00DC57C0">
      <w:pPr>
        <w:pStyle w:val="ConsPlusNormal"/>
        <w:jc w:val="right"/>
      </w:pPr>
      <w:r>
        <w:t>приказом Минсельхоза России</w:t>
      </w:r>
    </w:p>
    <w:p w:rsidR="00DC57C0" w:rsidRDefault="00DC57C0">
      <w:pPr>
        <w:pStyle w:val="ConsPlusNormal"/>
        <w:jc w:val="right"/>
      </w:pPr>
      <w:r>
        <w:t>от 14.09.2022 г. N 612</w:t>
      </w:r>
    </w:p>
    <w:p w:rsidR="00DC57C0" w:rsidRDefault="00DC57C0">
      <w:pPr>
        <w:pStyle w:val="ConsPlusNormal"/>
        <w:jc w:val="both"/>
      </w:pPr>
    </w:p>
    <w:p w:rsidR="00DC57C0" w:rsidRDefault="00DC57C0">
      <w:pPr>
        <w:pStyle w:val="ConsPlusTitle"/>
        <w:jc w:val="center"/>
      </w:pPr>
      <w:bookmarkStart w:id="0" w:name="P31"/>
      <w:bookmarkEnd w:id="0"/>
      <w:r>
        <w:lastRenderedPageBreak/>
        <w:t>ПРЕДЕЛЬНЫЕ ЗНАЧЕНИЯ</w:t>
      </w:r>
    </w:p>
    <w:p w:rsidR="00DC57C0" w:rsidRDefault="00DC57C0">
      <w:pPr>
        <w:pStyle w:val="ConsPlusTitle"/>
        <w:jc w:val="center"/>
      </w:pPr>
      <w:r>
        <w:t>СТОИМОСТИ ЕДИНИЦ МОЩНОСТИ ОБЪЕКТОВ ПО ПЕРЕРАБОТКЕ</w:t>
      </w:r>
    </w:p>
    <w:p w:rsidR="00DC57C0" w:rsidRDefault="00DC57C0">
      <w:pPr>
        <w:pStyle w:val="ConsPlusTitle"/>
        <w:jc w:val="center"/>
      </w:pPr>
      <w:r>
        <w:t>СЕЛЬСКОХОЗЯЙСТВЕННОЙ ПРОДУКЦИИ</w:t>
      </w:r>
    </w:p>
    <w:p w:rsidR="00DC57C0" w:rsidRDefault="00DC57C0">
      <w:pPr>
        <w:pStyle w:val="ConsPlusNormal"/>
        <w:jc w:val="both"/>
      </w:pPr>
    </w:p>
    <w:p w:rsidR="00DC57C0" w:rsidRDefault="00DC57C0">
      <w:pPr>
        <w:pStyle w:val="ConsPlusNormal"/>
        <w:ind w:firstLine="540"/>
        <w:jc w:val="both"/>
      </w:pPr>
      <w:r>
        <w:t>1. Для предприятий по глубокой переработке зерна (предельные значения стоимости единиц мощности объектов по глубокой переработке зерна устанавливаются по конечной продукции (без учета налога на добавленную стоимость), производимой предприятием, без учета продукции, подлежащей последующей переработке с целью производства конечной продукции):</w:t>
      </w:r>
    </w:p>
    <w:p w:rsidR="00DC57C0" w:rsidRDefault="00DC57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685"/>
        <w:gridCol w:w="1700"/>
      </w:tblGrid>
      <w:tr w:rsidR="00DC57C0">
        <w:tc>
          <w:tcPr>
            <w:tcW w:w="3685" w:type="dxa"/>
          </w:tcPr>
          <w:p w:rsidR="00DC57C0" w:rsidRDefault="00DC57C0">
            <w:pPr>
              <w:pStyle w:val="ConsPlusNormal"/>
              <w:jc w:val="center"/>
            </w:pPr>
            <w:r>
              <w:t xml:space="preserve">Код единой Товарной </w:t>
            </w:r>
            <w:hyperlink r:id="rId9">
              <w:r>
                <w:rPr>
                  <w:color w:val="0000FF"/>
                </w:rPr>
                <w:t>номенклатуры</w:t>
              </w:r>
            </w:hyperlink>
            <w:r>
              <w:t xml:space="preserve"> внешнеэкономической деятельности Евразийского экономического союза, утвержденной Решением Совета Евразийской экономической комиссии от 14 сентября 2021 г. N 80 </w:t>
            </w:r>
            <w:hyperlink w:anchor="P75">
              <w:r>
                <w:rPr>
                  <w:color w:val="0000FF"/>
                </w:rPr>
                <w:t>&lt;1&gt;</w:t>
              </w:r>
            </w:hyperlink>
          </w:p>
        </w:tc>
        <w:tc>
          <w:tcPr>
            <w:tcW w:w="3685" w:type="dxa"/>
          </w:tcPr>
          <w:p w:rsidR="00DC57C0" w:rsidRDefault="00DC57C0">
            <w:pPr>
              <w:pStyle w:val="ConsPlusNormal"/>
              <w:jc w:val="center"/>
            </w:pPr>
            <w:r>
              <w:t>Наименование продукции</w:t>
            </w:r>
          </w:p>
        </w:tc>
        <w:tc>
          <w:tcPr>
            <w:tcW w:w="1700" w:type="dxa"/>
          </w:tcPr>
          <w:p w:rsidR="00DC57C0" w:rsidRDefault="00DC57C0">
            <w:pPr>
              <w:pStyle w:val="ConsPlusNormal"/>
              <w:jc w:val="center"/>
            </w:pPr>
            <w:r>
              <w:t>Предельное значение стоимости единицы мощности (за тонну готовой продукции в год), рублей</w:t>
            </w:r>
          </w:p>
        </w:tc>
      </w:tr>
      <w:tr w:rsidR="00DC57C0">
        <w:tc>
          <w:tcPr>
            <w:tcW w:w="3685" w:type="dxa"/>
            <w:vAlign w:val="center"/>
          </w:tcPr>
          <w:p w:rsidR="00DC57C0" w:rsidRDefault="00DC57C0">
            <w:pPr>
              <w:pStyle w:val="ConsPlusNormal"/>
              <w:jc w:val="center"/>
            </w:pPr>
            <w:r>
              <w:t>1109 00 000 0</w:t>
            </w:r>
          </w:p>
        </w:tc>
        <w:tc>
          <w:tcPr>
            <w:tcW w:w="3685" w:type="dxa"/>
            <w:vAlign w:val="center"/>
          </w:tcPr>
          <w:p w:rsidR="00DC57C0" w:rsidRDefault="00DC57C0">
            <w:pPr>
              <w:pStyle w:val="ConsPlusNormal"/>
            </w:pPr>
            <w:r>
              <w:t>клейковина пшеничная, сухая или сырая</w:t>
            </w:r>
          </w:p>
        </w:tc>
        <w:tc>
          <w:tcPr>
            <w:tcW w:w="1700" w:type="dxa"/>
            <w:vAlign w:val="center"/>
          </w:tcPr>
          <w:p w:rsidR="00DC57C0" w:rsidRDefault="00DC57C0">
            <w:pPr>
              <w:pStyle w:val="ConsPlusNormal"/>
              <w:jc w:val="center"/>
            </w:pPr>
            <w:r>
              <w:t>53 000</w:t>
            </w:r>
          </w:p>
        </w:tc>
      </w:tr>
      <w:tr w:rsidR="00DC57C0">
        <w:tc>
          <w:tcPr>
            <w:tcW w:w="3685" w:type="dxa"/>
            <w:vAlign w:val="center"/>
          </w:tcPr>
          <w:p w:rsidR="00DC57C0" w:rsidRDefault="00DC57C0">
            <w:pPr>
              <w:pStyle w:val="ConsPlusNormal"/>
              <w:jc w:val="center"/>
            </w:pPr>
            <w:r>
              <w:t>1702 30</w:t>
            </w:r>
          </w:p>
        </w:tc>
        <w:tc>
          <w:tcPr>
            <w:tcW w:w="3685" w:type="dxa"/>
            <w:vAlign w:val="center"/>
          </w:tcPr>
          <w:p w:rsidR="00DC57C0" w:rsidRDefault="00DC57C0">
            <w:pPr>
              <w:pStyle w:val="ConsPlusNormal"/>
            </w:pPr>
            <w:r>
              <w:t>глюкоза и сироп глюкозы, не содержащие фруктозу или содержащие менее 20 мас.% фруктозы в сухом состоянии</w:t>
            </w:r>
          </w:p>
        </w:tc>
        <w:tc>
          <w:tcPr>
            <w:tcW w:w="1700" w:type="dxa"/>
            <w:vAlign w:val="center"/>
          </w:tcPr>
          <w:p w:rsidR="00DC57C0" w:rsidRDefault="00DC57C0">
            <w:pPr>
              <w:pStyle w:val="ConsPlusNormal"/>
              <w:jc w:val="center"/>
            </w:pPr>
            <w:r>
              <w:t>105 000</w:t>
            </w:r>
          </w:p>
        </w:tc>
      </w:tr>
      <w:tr w:rsidR="00DC57C0">
        <w:tc>
          <w:tcPr>
            <w:tcW w:w="3685" w:type="dxa"/>
            <w:vAlign w:val="center"/>
          </w:tcPr>
          <w:p w:rsidR="00DC57C0" w:rsidRDefault="00DC57C0">
            <w:pPr>
              <w:pStyle w:val="ConsPlusNormal"/>
              <w:jc w:val="center"/>
            </w:pPr>
            <w:r>
              <w:t>1702 90 100 0</w:t>
            </w:r>
          </w:p>
        </w:tc>
        <w:tc>
          <w:tcPr>
            <w:tcW w:w="3685" w:type="dxa"/>
            <w:vAlign w:val="center"/>
          </w:tcPr>
          <w:p w:rsidR="00DC57C0" w:rsidRDefault="00DC57C0">
            <w:pPr>
              <w:pStyle w:val="ConsPlusNormal"/>
            </w:pPr>
            <w:r>
              <w:t>мальтоза химически чистая</w:t>
            </w:r>
          </w:p>
        </w:tc>
        <w:tc>
          <w:tcPr>
            <w:tcW w:w="1700" w:type="dxa"/>
            <w:vAlign w:val="center"/>
          </w:tcPr>
          <w:p w:rsidR="00DC57C0" w:rsidRDefault="00DC57C0">
            <w:pPr>
              <w:pStyle w:val="ConsPlusNormal"/>
              <w:jc w:val="center"/>
            </w:pPr>
            <w:r>
              <w:t>105 000</w:t>
            </w:r>
          </w:p>
        </w:tc>
      </w:tr>
      <w:tr w:rsidR="00DC57C0">
        <w:tc>
          <w:tcPr>
            <w:tcW w:w="3685" w:type="dxa"/>
            <w:vAlign w:val="center"/>
          </w:tcPr>
          <w:p w:rsidR="00DC57C0" w:rsidRDefault="00DC57C0">
            <w:pPr>
              <w:pStyle w:val="ConsPlusNormal"/>
              <w:jc w:val="center"/>
            </w:pPr>
            <w:r>
              <w:t>1702 90 300 0</w:t>
            </w:r>
          </w:p>
        </w:tc>
        <w:tc>
          <w:tcPr>
            <w:tcW w:w="3685" w:type="dxa"/>
            <w:vAlign w:val="center"/>
          </w:tcPr>
          <w:p w:rsidR="00DC57C0" w:rsidRDefault="00DC57C0">
            <w:pPr>
              <w:pStyle w:val="ConsPlusNormal"/>
            </w:pPr>
            <w:r>
              <w:t>изоглюкоза</w:t>
            </w:r>
          </w:p>
        </w:tc>
        <w:tc>
          <w:tcPr>
            <w:tcW w:w="1700" w:type="dxa"/>
            <w:vAlign w:val="center"/>
          </w:tcPr>
          <w:p w:rsidR="00DC57C0" w:rsidRDefault="00DC57C0">
            <w:pPr>
              <w:pStyle w:val="ConsPlusNormal"/>
              <w:jc w:val="center"/>
            </w:pPr>
            <w:r>
              <w:t>105 000</w:t>
            </w:r>
          </w:p>
        </w:tc>
      </w:tr>
      <w:tr w:rsidR="00DC57C0">
        <w:tc>
          <w:tcPr>
            <w:tcW w:w="3685" w:type="dxa"/>
            <w:vAlign w:val="center"/>
          </w:tcPr>
          <w:p w:rsidR="00DC57C0" w:rsidRDefault="00DC57C0">
            <w:pPr>
              <w:pStyle w:val="ConsPlusNormal"/>
              <w:jc w:val="center"/>
            </w:pPr>
            <w:r>
              <w:t>1702 90 500 0</w:t>
            </w:r>
          </w:p>
        </w:tc>
        <w:tc>
          <w:tcPr>
            <w:tcW w:w="3685" w:type="dxa"/>
            <w:vAlign w:val="center"/>
          </w:tcPr>
          <w:p w:rsidR="00DC57C0" w:rsidRDefault="00DC57C0">
            <w:pPr>
              <w:pStyle w:val="ConsPlusNormal"/>
            </w:pPr>
            <w:r>
              <w:t>мальтодекстрин и сироп мальтодекстрина</w:t>
            </w:r>
          </w:p>
        </w:tc>
        <w:tc>
          <w:tcPr>
            <w:tcW w:w="1700" w:type="dxa"/>
            <w:vAlign w:val="center"/>
          </w:tcPr>
          <w:p w:rsidR="00DC57C0" w:rsidRDefault="00DC57C0">
            <w:pPr>
              <w:pStyle w:val="ConsPlusNormal"/>
              <w:jc w:val="center"/>
            </w:pPr>
            <w:r>
              <w:t>105 000</w:t>
            </w:r>
          </w:p>
        </w:tc>
      </w:tr>
      <w:tr w:rsidR="00DC57C0">
        <w:tc>
          <w:tcPr>
            <w:tcW w:w="3685" w:type="dxa"/>
            <w:vAlign w:val="center"/>
          </w:tcPr>
          <w:p w:rsidR="00DC57C0" w:rsidRDefault="00DC57C0">
            <w:pPr>
              <w:pStyle w:val="ConsPlusNormal"/>
              <w:jc w:val="center"/>
            </w:pPr>
            <w:r>
              <w:t>1702 90 800 0</w:t>
            </w:r>
          </w:p>
        </w:tc>
        <w:tc>
          <w:tcPr>
            <w:tcW w:w="3685" w:type="dxa"/>
            <w:vAlign w:val="center"/>
          </w:tcPr>
          <w:p w:rsidR="00DC57C0" w:rsidRDefault="00DC57C0">
            <w:pPr>
              <w:pStyle w:val="ConsPlusNormal"/>
            </w:pPr>
            <w:r>
              <w:t>сироп инулина</w:t>
            </w:r>
          </w:p>
        </w:tc>
        <w:tc>
          <w:tcPr>
            <w:tcW w:w="1700" w:type="dxa"/>
            <w:vAlign w:val="center"/>
          </w:tcPr>
          <w:p w:rsidR="00DC57C0" w:rsidRDefault="00DC57C0">
            <w:pPr>
              <w:pStyle w:val="ConsPlusNormal"/>
              <w:jc w:val="center"/>
            </w:pPr>
            <w:r>
              <w:t>105 000</w:t>
            </w:r>
          </w:p>
        </w:tc>
      </w:tr>
      <w:tr w:rsidR="00DC57C0">
        <w:tc>
          <w:tcPr>
            <w:tcW w:w="3685" w:type="dxa"/>
            <w:vAlign w:val="center"/>
          </w:tcPr>
          <w:p w:rsidR="00DC57C0" w:rsidRDefault="00DC57C0">
            <w:pPr>
              <w:pStyle w:val="ConsPlusNormal"/>
              <w:jc w:val="center"/>
            </w:pPr>
            <w:r>
              <w:t>из 2309 90 960 1</w:t>
            </w:r>
          </w:p>
        </w:tc>
        <w:tc>
          <w:tcPr>
            <w:tcW w:w="3685" w:type="dxa"/>
            <w:vAlign w:val="center"/>
          </w:tcPr>
          <w:p w:rsidR="00DC57C0" w:rsidRDefault="00DC57C0">
            <w:pPr>
              <w:pStyle w:val="ConsPlusNormal"/>
              <w:jc w:val="both"/>
            </w:pPr>
            <w:r>
              <w:t xml:space="preserve">кормовые витаминные добавки, содержащие 49 мас.% или более хлорида холина, на органической или неорганической основе (соответствующие коду Общероссийского классификатора продукции по видам экономической деятельности (ОКПД2) </w:t>
            </w:r>
            <w:proofErr w:type="gramStart"/>
            <w:r>
              <w:t>ОК</w:t>
            </w:r>
            <w:proofErr w:type="gramEnd"/>
            <w:r>
              <w:t xml:space="preserve"> 034-2014 (КПЕС 2008) (далее - ОКПД 2) </w:t>
            </w:r>
            <w:hyperlink r:id="rId10">
              <w:r>
                <w:rPr>
                  <w:color w:val="0000FF"/>
                </w:rPr>
                <w:t>10.91.10.170</w:t>
              </w:r>
            </w:hyperlink>
            <w:r>
              <w:t>)</w:t>
            </w:r>
          </w:p>
        </w:tc>
        <w:tc>
          <w:tcPr>
            <w:tcW w:w="1700" w:type="dxa"/>
            <w:vAlign w:val="center"/>
          </w:tcPr>
          <w:p w:rsidR="00DC57C0" w:rsidRDefault="00DC57C0">
            <w:pPr>
              <w:pStyle w:val="ConsPlusNormal"/>
              <w:jc w:val="center"/>
            </w:pPr>
            <w:r>
              <w:t>160 000</w:t>
            </w:r>
          </w:p>
        </w:tc>
      </w:tr>
      <w:tr w:rsidR="00DC57C0">
        <w:tc>
          <w:tcPr>
            <w:tcW w:w="3685" w:type="dxa"/>
            <w:vAlign w:val="center"/>
          </w:tcPr>
          <w:p w:rsidR="00DC57C0" w:rsidRDefault="00DC57C0">
            <w:pPr>
              <w:pStyle w:val="ConsPlusNormal"/>
              <w:jc w:val="center"/>
            </w:pPr>
            <w:r>
              <w:t>из 2309 90 960 9</w:t>
            </w:r>
          </w:p>
        </w:tc>
        <w:tc>
          <w:tcPr>
            <w:tcW w:w="3685" w:type="dxa"/>
            <w:vAlign w:val="center"/>
          </w:tcPr>
          <w:p w:rsidR="00DC57C0" w:rsidRDefault="00DC57C0">
            <w:pPr>
              <w:pStyle w:val="ConsPlusNormal"/>
              <w:jc w:val="both"/>
            </w:pPr>
            <w:r>
              <w:t xml:space="preserve">кормовые добавки: кормовые витамины и кормовые пробиотики, полученные с использованием продуктов переработки зерна методом микробиологического синтеза (соответствующие коду ОКПД 2 </w:t>
            </w:r>
            <w:hyperlink r:id="rId11">
              <w:r>
                <w:rPr>
                  <w:color w:val="0000FF"/>
                </w:rPr>
                <w:t>10.91.10.170</w:t>
              </w:r>
            </w:hyperlink>
            <w:r>
              <w:t>); кормовые концентраты</w:t>
            </w:r>
          </w:p>
        </w:tc>
        <w:tc>
          <w:tcPr>
            <w:tcW w:w="1700" w:type="dxa"/>
            <w:vAlign w:val="center"/>
          </w:tcPr>
          <w:p w:rsidR="00DC57C0" w:rsidRDefault="00DC57C0">
            <w:pPr>
              <w:pStyle w:val="ConsPlusNormal"/>
              <w:jc w:val="center"/>
            </w:pPr>
            <w:r>
              <w:t>392 000</w:t>
            </w:r>
          </w:p>
        </w:tc>
      </w:tr>
      <w:tr w:rsidR="00DC57C0">
        <w:tc>
          <w:tcPr>
            <w:tcW w:w="3685" w:type="dxa"/>
            <w:vAlign w:val="center"/>
          </w:tcPr>
          <w:p w:rsidR="00DC57C0" w:rsidRDefault="00DC57C0">
            <w:pPr>
              <w:pStyle w:val="ConsPlusNormal"/>
              <w:jc w:val="center"/>
            </w:pPr>
            <w:r>
              <w:lastRenderedPageBreak/>
              <w:t>2922 41 000 0</w:t>
            </w:r>
          </w:p>
        </w:tc>
        <w:tc>
          <w:tcPr>
            <w:tcW w:w="3685" w:type="dxa"/>
            <w:vAlign w:val="center"/>
          </w:tcPr>
          <w:p w:rsidR="00DC57C0" w:rsidRDefault="00DC57C0">
            <w:pPr>
              <w:pStyle w:val="ConsPlusNormal"/>
            </w:pPr>
            <w:r>
              <w:t>лизин и его сложные эфиры; соли этих соединений</w:t>
            </w:r>
          </w:p>
        </w:tc>
        <w:tc>
          <w:tcPr>
            <w:tcW w:w="1700" w:type="dxa"/>
            <w:vAlign w:val="center"/>
          </w:tcPr>
          <w:p w:rsidR="00DC57C0" w:rsidRDefault="00DC57C0">
            <w:pPr>
              <w:pStyle w:val="ConsPlusNormal"/>
              <w:jc w:val="center"/>
            </w:pPr>
            <w:r>
              <w:t>160 000</w:t>
            </w:r>
          </w:p>
        </w:tc>
      </w:tr>
      <w:tr w:rsidR="00DC57C0">
        <w:tc>
          <w:tcPr>
            <w:tcW w:w="3685" w:type="dxa"/>
            <w:vAlign w:val="center"/>
          </w:tcPr>
          <w:p w:rsidR="00DC57C0" w:rsidRDefault="00DC57C0">
            <w:pPr>
              <w:pStyle w:val="ConsPlusNormal"/>
              <w:jc w:val="center"/>
            </w:pPr>
            <w:r>
              <w:t>2922 42 000 0</w:t>
            </w:r>
          </w:p>
        </w:tc>
        <w:tc>
          <w:tcPr>
            <w:tcW w:w="3685" w:type="dxa"/>
            <w:vAlign w:val="center"/>
          </w:tcPr>
          <w:p w:rsidR="00DC57C0" w:rsidRDefault="00DC57C0">
            <w:pPr>
              <w:pStyle w:val="ConsPlusNormal"/>
            </w:pPr>
            <w:r>
              <w:t>глутаминовая кислота и ее соли</w:t>
            </w:r>
          </w:p>
        </w:tc>
        <w:tc>
          <w:tcPr>
            <w:tcW w:w="1700" w:type="dxa"/>
            <w:vAlign w:val="center"/>
          </w:tcPr>
          <w:p w:rsidR="00DC57C0" w:rsidRDefault="00DC57C0">
            <w:pPr>
              <w:pStyle w:val="ConsPlusNormal"/>
              <w:jc w:val="center"/>
            </w:pPr>
            <w:r>
              <w:t>160 000</w:t>
            </w:r>
          </w:p>
        </w:tc>
      </w:tr>
      <w:tr w:rsidR="00DC57C0">
        <w:tc>
          <w:tcPr>
            <w:tcW w:w="3685" w:type="dxa"/>
            <w:vAlign w:val="center"/>
          </w:tcPr>
          <w:p w:rsidR="00DC57C0" w:rsidRDefault="00DC57C0">
            <w:pPr>
              <w:pStyle w:val="ConsPlusNormal"/>
              <w:jc w:val="center"/>
            </w:pPr>
            <w:r>
              <w:t>3505 10</w:t>
            </w:r>
          </w:p>
        </w:tc>
        <w:tc>
          <w:tcPr>
            <w:tcW w:w="3685" w:type="dxa"/>
            <w:vAlign w:val="center"/>
          </w:tcPr>
          <w:p w:rsidR="00DC57C0" w:rsidRDefault="00DC57C0">
            <w:pPr>
              <w:pStyle w:val="ConsPlusNormal"/>
            </w:pPr>
            <w:r>
              <w:t>декстрины и прочие модифицированные крахмалы</w:t>
            </w:r>
          </w:p>
        </w:tc>
        <w:tc>
          <w:tcPr>
            <w:tcW w:w="1700" w:type="dxa"/>
            <w:vAlign w:val="center"/>
          </w:tcPr>
          <w:p w:rsidR="00DC57C0" w:rsidRDefault="00DC57C0">
            <w:pPr>
              <w:pStyle w:val="ConsPlusNormal"/>
              <w:jc w:val="center"/>
            </w:pPr>
            <w:r>
              <w:t>86 000</w:t>
            </w:r>
          </w:p>
        </w:tc>
      </w:tr>
    </w:tbl>
    <w:p w:rsidR="00DC57C0" w:rsidRDefault="00DC57C0">
      <w:pPr>
        <w:pStyle w:val="ConsPlusNormal"/>
        <w:jc w:val="both"/>
      </w:pPr>
    </w:p>
    <w:p w:rsidR="00DC57C0" w:rsidRDefault="00DC57C0">
      <w:pPr>
        <w:pStyle w:val="ConsPlusNormal"/>
        <w:ind w:firstLine="540"/>
        <w:jc w:val="both"/>
      </w:pPr>
      <w:r>
        <w:t>--------------------------------</w:t>
      </w:r>
    </w:p>
    <w:p w:rsidR="00DC57C0" w:rsidRDefault="00DC57C0">
      <w:pPr>
        <w:pStyle w:val="ConsPlusNormal"/>
        <w:spacing w:before="220"/>
        <w:ind w:firstLine="540"/>
        <w:jc w:val="both"/>
      </w:pPr>
      <w:bookmarkStart w:id="1" w:name="P75"/>
      <w:bookmarkEnd w:id="1"/>
      <w:r>
        <w:t xml:space="preserve">&lt;1&gt; Официальный сайт Евразийского экономического союза www.eaeunion.org, 6 октября 2021 г. (вступило в силу 1 января 2022 г.). </w:t>
      </w:r>
      <w:proofErr w:type="gramStart"/>
      <w:r>
        <w:t xml:space="preserve">Является обязательным для Российской Федерации в соответствии с </w:t>
      </w:r>
      <w:hyperlink r:id="rId12">
        <w:r>
          <w:rPr>
            <w:color w:val="0000FF"/>
          </w:rPr>
          <w:t>Договором</w:t>
        </w:r>
      </w:hyperlink>
      <w:r>
        <w:t xml:space="preserve"> о Евразийском экономическом союзе от 29 мая 2014 г., ратифицированным Федеральным </w:t>
      </w:r>
      <w:hyperlink r:id="rId13">
        <w:r>
          <w:rPr>
            <w:color w:val="0000FF"/>
          </w:rPr>
          <w:t>законом</w:t>
        </w:r>
      </w:hyperlink>
      <w:r>
        <w:t xml:space="preserve"> от 3 октября 2014 г. N 279-ФЗ "О ратификации Договора о Евразийском экономическом союзе" (Собрание законодательства Российской Федерации, 2014, N 40, ст. 5310) (договор вступил в силу для Российской Федерации 1 января 2015 г.).</w:t>
      </w:r>
      <w:proofErr w:type="gramEnd"/>
    </w:p>
    <w:p w:rsidR="00DC57C0" w:rsidRDefault="00DC57C0">
      <w:pPr>
        <w:pStyle w:val="ConsPlusNormal"/>
        <w:jc w:val="both"/>
      </w:pPr>
    </w:p>
    <w:p w:rsidR="00DC57C0" w:rsidRDefault="00DC57C0">
      <w:pPr>
        <w:pStyle w:val="ConsPlusNormal"/>
        <w:ind w:firstLine="540"/>
        <w:jc w:val="both"/>
      </w:pPr>
      <w:r>
        <w:t>2. Для предприятий по переработке масличных культур (без учета налога на добавленную стоимость):</w:t>
      </w:r>
    </w:p>
    <w:p w:rsidR="00DC57C0" w:rsidRDefault="00DC57C0">
      <w:pPr>
        <w:pStyle w:val="ConsPlusNormal"/>
        <w:spacing w:before="220"/>
        <w:ind w:firstLine="540"/>
        <w:jc w:val="both"/>
      </w:pPr>
      <w:r>
        <w:t>производство масла и шрота - 15 000 рублей за тонну готовой продукции в год;</w:t>
      </w:r>
    </w:p>
    <w:p w:rsidR="00DC57C0" w:rsidRDefault="00DC57C0">
      <w:pPr>
        <w:pStyle w:val="ConsPlusNormal"/>
        <w:spacing w:before="220"/>
        <w:ind w:firstLine="540"/>
        <w:jc w:val="both"/>
      </w:pPr>
      <w:r>
        <w:t>производство соевых белковых концентратов - 35 000 рублей за тонну готовой продукции в год.</w:t>
      </w:r>
    </w:p>
    <w:p w:rsidR="00DC57C0" w:rsidRDefault="00DC57C0">
      <w:pPr>
        <w:pStyle w:val="ConsPlusNormal"/>
        <w:spacing w:before="220"/>
        <w:ind w:firstLine="540"/>
        <w:jc w:val="both"/>
      </w:pPr>
      <w:r>
        <w:t>3. Для предприятий по переработке и консервированию рыбы, ракообразных и моллюсков (без учета налога на добавленную стоимость):</w:t>
      </w:r>
    </w:p>
    <w:p w:rsidR="00DC57C0" w:rsidRDefault="00DC57C0">
      <w:pPr>
        <w:pStyle w:val="ConsPlusNormal"/>
        <w:spacing w:before="220"/>
        <w:ind w:firstLine="540"/>
        <w:jc w:val="both"/>
      </w:pPr>
      <w:r>
        <w:t>производство продукции из рыбы, ракообразных и моллюсков - 50 000 рублей за тонну готовой продукции в год.</w:t>
      </w:r>
    </w:p>
    <w:p w:rsidR="00DC57C0" w:rsidRDefault="00DC57C0">
      <w:pPr>
        <w:pStyle w:val="ConsPlusNormal"/>
        <w:spacing w:before="220"/>
        <w:ind w:firstLine="540"/>
        <w:jc w:val="both"/>
      </w:pPr>
      <w:r>
        <w:t>4. Для предприятий по производству сухих молочных продуктов (без учета налога на добавленную стоимость):</w:t>
      </w:r>
    </w:p>
    <w:p w:rsidR="00DC57C0" w:rsidRDefault="00DC57C0">
      <w:pPr>
        <w:pStyle w:val="ConsPlusNormal"/>
        <w:spacing w:before="220"/>
        <w:ind w:firstLine="540"/>
        <w:jc w:val="both"/>
      </w:pPr>
      <w:r>
        <w:t>производство сухого молока и сливок - 260 000 рублей за тонну готовой продукции в год;</w:t>
      </w:r>
    </w:p>
    <w:p w:rsidR="00DC57C0" w:rsidRDefault="00DC57C0">
      <w:pPr>
        <w:pStyle w:val="ConsPlusNormal"/>
        <w:spacing w:before="220"/>
        <w:ind w:firstLine="540"/>
        <w:jc w:val="both"/>
      </w:pPr>
      <w:proofErr w:type="gramStart"/>
      <w:r>
        <w:t>производство сухой сыворотки, концентрата сывороточного белка, сывороточного пермеата, концентрата молочного белка, изолята и гидролизата молочного белка, изолята и гидролизата сывороточного белка, концентрата мицеллярного казеина, микропартикулята сывороточного белка, нативной молочной сыворотки, нативного концентрата сывороточных белков, изолята нативного концентрата сывороточных белков, сычужного казеина, пермеата обезжиренного молока, сухой пахты и пермеата пахты, лактозы - 260 000 рублей за тонну готовой продукции в год;</w:t>
      </w:r>
      <w:proofErr w:type="gramEnd"/>
    </w:p>
    <w:p w:rsidR="00DC57C0" w:rsidRDefault="00DC57C0">
      <w:pPr>
        <w:pStyle w:val="ConsPlusNormal"/>
        <w:spacing w:before="220"/>
        <w:ind w:firstLine="540"/>
        <w:jc w:val="both"/>
      </w:pPr>
      <w:r>
        <w:t>производство сухих адаптированных молочных смесей (заменителей женского молока) и сухой "молочной основы" для их производства - 299 000 рублей за тонну готовой продукции в год.</w:t>
      </w:r>
    </w:p>
    <w:p w:rsidR="00DC57C0" w:rsidRDefault="00DC57C0">
      <w:pPr>
        <w:pStyle w:val="ConsPlusNormal"/>
        <w:jc w:val="both"/>
      </w:pPr>
    </w:p>
    <w:p w:rsidR="00DC57C0" w:rsidRDefault="00DC57C0">
      <w:pPr>
        <w:pStyle w:val="ConsPlusNormal"/>
        <w:jc w:val="both"/>
      </w:pPr>
    </w:p>
    <w:p w:rsidR="00DC57C0" w:rsidRDefault="00DC57C0">
      <w:pPr>
        <w:pStyle w:val="ConsPlusNormal"/>
        <w:pBdr>
          <w:bottom w:val="single" w:sz="6" w:space="0" w:color="auto"/>
        </w:pBdr>
        <w:spacing w:before="100" w:after="100"/>
        <w:jc w:val="both"/>
        <w:rPr>
          <w:sz w:val="2"/>
          <w:szCs w:val="2"/>
        </w:rPr>
      </w:pPr>
    </w:p>
    <w:p w:rsidR="00B75E93" w:rsidRDefault="00B75E93">
      <w:bookmarkStart w:id="2" w:name="_GoBack"/>
      <w:bookmarkEnd w:id="2"/>
    </w:p>
    <w:sectPr w:rsidR="00B75E93" w:rsidSect="00283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C0"/>
    <w:rsid w:val="00B75E93"/>
    <w:rsid w:val="00DC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7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57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57C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57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C57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57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8D3D04CB4930CACCECFE012A9E2E98478D6C87670D59506CAEB325DEC2F4E28A1EEA739E4599D23C157B9A4H8tBJ" TargetMode="External"/><Relationship Id="rId13" Type="http://schemas.openxmlformats.org/officeDocument/2006/relationships/hyperlink" Target="consultantplus://offline/ref=A078D3D04CB4930CACCECFE012A9E2E98677D9CE7676D59506CAEB325DEC2F4E28A1EEA739E4599D23C157B9A4H8tBJ" TargetMode="External"/><Relationship Id="rId3" Type="http://schemas.openxmlformats.org/officeDocument/2006/relationships/settings" Target="settings.xml"/><Relationship Id="rId7" Type="http://schemas.openxmlformats.org/officeDocument/2006/relationships/hyperlink" Target="consultantplus://offline/ref=A078D3D04CB4930CACCECFE012A9E2E98478D6C87075D59506CAEB325DEC2F4E28A1EEA739E4599D23C157B9A4H8tBJ" TargetMode="External"/><Relationship Id="rId12" Type="http://schemas.openxmlformats.org/officeDocument/2006/relationships/hyperlink" Target="consultantplus://offline/ref=A078D3D04CB4930CACCECFE012A9E2E98375D3CD7171D59506CAEB325DEC2F4E28A1EEA739E4599D23C157B9A4H8tB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078D3D04CB4930CACCECFE012A9E2E98375D0CA7770D59506CAEB325DEC2F4E3AA1B6AB39E7479E26D401E8E2DDDDC6593D3CADBCFC92AEH4tAJ" TargetMode="External"/><Relationship Id="rId11" Type="http://schemas.openxmlformats.org/officeDocument/2006/relationships/hyperlink" Target="consultantplus://offline/ref=A078D3D04CB4930CACCECFE012A9E2E98375D7C97776D59506CAEB325DEC2F4E3AA1B6AB39E0449527D401E8E2DDDDC6593D3CADBCFC92AEH4tAJ"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A078D3D04CB4930CACCECFE012A9E2E98375D7C97776D59506CAEB325DEC2F4E3AA1B6AB39E0449527D401E8E2DDDDC6593D3CADBCFC92AEH4tAJ" TargetMode="External"/><Relationship Id="rId4" Type="http://schemas.openxmlformats.org/officeDocument/2006/relationships/webSettings" Target="webSettings.xml"/><Relationship Id="rId9" Type="http://schemas.openxmlformats.org/officeDocument/2006/relationships/hyperlink" Target="consultantplus://offline/ref=A078D3D04CB4930CACCECFE012A9E2E98375D1C3757FD59506CAEB325DEC2F4E3AA1B6AB39E7469B26D401E8E2DDDDC6593D3CADBCFC92AEH4t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 Куликова</dc:creator>
  <cp:lastModifiedBy>Наталья Н. Куликова</cp:lastModifiedBy>
  <cp:revision>1</cp:revision>
  <dcterms:created xsi:type="dcterms:W3CDTF">2023-07-03T09:45:00Z</dcterms:created>
  <dcterms:modified xsi:type="dcterms:W3CDTF">2023-07-03T09:47:00Z</dcterms:modified>
</cp:coreProperties>
</file>