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2ACC" w:rsidRDefault="00F92ACC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F92ACC" w:rsidRDefault="00F92ACC">
      <w:pPr>
        <w:pStyle w:val="ConsPlusTitle"/>
        <w:jc w:val="center"/>
      </w:pPr>
    </w:p>
    <w:p w:rsidR="00F92ACC" w:rsidRDefault="00F92ACC">
      <w:pPr>
        <w:pStyle w:val="ConsPlusTitle"/>
        <w:jc w:val="center"/>
      </w:pPr>
      <w:r>
        <w:t>ПОСТАНОВЛЕНИЕ</w:t>
      </w:r>
    </w:p>
    <w:p w:rsidR="00F92ACC" w:rsidRDefault="00F92ACC">
      <w:pPr>
        <w:pStyle w:val="ConsPlusTitle"/>
        <w:jc w:val="center"/>
      </w:pPr>
      <w:r>
        <w:t>от 15 декабря 2022 г. N 1071</w:t>
      </w:r>
    </w:p>
    <w:p w:rsidR="00F92ACC" w:rsidRDefault="00F92ACC">
      <w:pPr>
        <w:pStyle w:val="ConsPlusTitle"/>
        <w:ind w:firstLine="540"/>
        <w:jc w:val="both"/>
      </w:pPr>
    </w:p>
    <w:p w:rsidR="00F92ACC" w:rsidRDefault="00F92ACC">
      <w:pPr>
        <w:pStyle w:val="ConsPlusTitle"/>
        <w:jc w:val="center"/>
      </w:pPr>
      <w:r>
        <w:t>О ГОСУДАРСТВЕННОЙ ПОДДЕРЖКЕ НА СТИМУЛИРОВАНИЕ</w:t>
      </w:r>
    </w:p>
    <w:p w:rsidR="00F92ACC" w:rsidRDefault="00F92ACC">
      <w:pPr>
        <w:pStyle w:val="ConsPlusTitle"/>
        <w:jc w:val="center"/>
      </w:pPr>
      <w:r>
        <w:t>УВЕЛИЧЕНИЯ ПРОИЗВОДСТВА КАРТОФЕЛЯ И ОВОЩЕЙ</w:t>
      </w:r>
    </w:p>
    <w:p w:rsidR="00F92ACC" w:rsidRDefault="00F92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2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4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26.07.2023 </w:t>
            </w:r>
            <w:hyperlink r:id="rId5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22.09.2023 </w:t>
            </w:r>
            <w:hyperlink r:id="rId6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>,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7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</w:tr>
    </w:tbl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производства", в целях реализации </w:t>
      </w:r>
      <w:hyperlink r:id="rId9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Правительство Нижегородской области постановляет:</w:t>
      </w:r>
    </w:p>
    <w:p w:rsidR="00F92ACC" w:rsidRDefault="00F92AC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1.1. </w:t>
      </w:r>
      <w:hyperlink w:anchor="P34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1.2. </w:t>
      </w:r>
      <w:hyperlink w:anchor="P140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1.3. </w:t>
      </w:r>
      <w:hyperlink w:anchor="P293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F92ACC" w:rsidRDefault="00F92ACC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2023 г. и подлежит официальному опубликованию.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F92ACC" w:rsidRDefault="00F92ACC">
      <w:pPr>
        <w:pStyle w:val="ConsPlusNormal"/>
        <w:jc w:val="right"/>
      </w:pPr>
      <w:r>
        <w:t>А.Н.ГНЕУШЕВ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61370F" w:rsidRDefault="0061370F">
      <w:pPr>
        <w:pStyle w:val="ConsPlusNormal"/>
      </w:pPr>
    </w:p>
    <w:p w:rsidR="0061370F" w:rsidRDefault="0061370F">
      <w:pPr>
        <w:pStyle w:val="ConsPlusNormal"/>
      </w:pPr>
    </w:p>
    <w:p w:rsidR="0061370F" w:rsidRDefault="0061370F">
      <w:pPr>
        <w:pStyle w:val="ConsPlusNormal"/>
      </w:pPr>
    </w:p>
    <w:p w:rsidR="0061370F" w:rsidRDefault="0061370F">
      <w:pPr>
        <w:pStyle w:val="ConsPlusNormal"/>
      </w:pPr>
    </w:p>
    <w:p w:rsidR="0061370F" w:rsidRDefault="0061370F">
      <w:pPr>
        <w:pStyle w:val="ConsPlusNormal"/>
      </w:pPr>
    </w:p>
    <w:p w:rsidR="0061370F" w:rsidRDefault="0061370F">
      <w:pPr>
        <w:pStyle w:val="ConsPlusNormal"/>
      </w:pPr>
    </w:p>
    <w:p w:rsidR="0061370F" w:rsidRDefault="0061370F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right"/>
        <w:outlineLvl w:val="0"/>
      </w:pPr>
      <w:r>
        <w:lastRenderedPageBreak/>
        <w:t>Утверждены</w:t>
      </w:r>
    </w:p>
    <w:p w:rsidR="00F92ACC" w:rsidRDefault="00F92ACC">
      <w:pPr>
        <w:pStyle w:val="ConsPlusNormal"/>
        <w:jc w:val="right"/>
      </w:pPr>
      <w:r>
        <w:t>постановлением Правительства</w:t>
      </w:r>
    </w:p>
    <w:p w:rsidR="00F92ACC" w:rsidRDefault="00F92ACC">
      <w:pPr>
        <w:pStyle w:val="ConsPlusNormal"/>
        <w:jc w:val="right"/>
      </w:pPr>
      <w:r>
        <w:t>Нижегородской области</w:t>
      </w:r>
    </w:p>
    <w:p w:rsidR="00F92ACC" w:rsidRDefault="00F92ACC">
      <w:pPr>
        <w:pStyle w:val="ConsPlusNormal"/>
        <w:jc w:val="right"/>
      </w:pPr>
      <w:r>
        <w:t>от 15 декабря 2022 г. N 1071</w:t>
      </w:r>
    </w:p>
    <w:p w:rsidR="00F92ACC" w:rsidRDefault="00F92ACC">
      <w:pPr>
        <w:pStyle w:val="ConsPlusNormal"/>
      </w:pPr>
    </w:p>
    <w:p w:rsidR="00F92ACC" w:rsidRDefault="00F92ACC">
      <w:pPr>
        <w:pStyle w:val="ConsPlusTitle"/>
        <w:jc w:val="center"/>
      </w:pPr>
      <w:bookmarkStart w:id="0" w:name="P34"/>
      <w:bookmarkEnd w:id="0"/>
      <w:r>
        <w:t>ПОРЯДОК И УСЛОВИЯ</w:t>
      </w:r>
    </w:p>
    <w:p w:rsidR="00F92ACC" w:rsidRDefault="00F92ACC">
      <w:pPr>
        <w:pStyle w:val="ConsPlusTitle"/>
        <w:jc w:val="center"/>
      </w:pPr>
      <w:r>
        <w:t>ПРЕДОСТАВЛЕНИЯ СУБСИДИЙ НА ВОЗМЕЩЕНИЕ ЧАСТИ ЗАТРАТ</w:t>
      </w:r>
    </w:p>
    <w:p w:rsidR="00F92ACC" w:rsidRDefault="00F92ACC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F92ACC" w:rsidRDefault="00F92ACC">
      <w:pPr>
        <w:pStyle w:val="ConsPlusTitle"/>
        <w:jc w:val="center"/>
      </w:pPr>
      <w:r>
        <w:t>ЭКОЛОГИЧЕСКОЙ БЕЗОПАСНОСТИ СЕЛЬСКОХОЗЯЙСТВЕННОГО</w:t>
      </w:r>
    </w:p>
    <w:p w:rsidR="00F92ACC" w:rsidRDefault="00F92ACC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F92ACC" w:rsidRDefault="00F92ACC">
      <w:pPr>
        <w:pStyle w:val="ConsPlusTitle"/>
        <w:jc w:val="center"/>
      </w:pPr>
      <w:r>
        <w:t>ПОЧВ, ИСТОЧНИКОМ ФИНАНСОВОГО ОБЕСПЕЧЕНИЯ КОТОРЫХ ЯВЛЯЮТСЯ</w:t>
      </w:r>
    </w:p>
    <w:p w:rsidR="00F92ACC" w:rsidRDefault="00F92ACC">
      <w:pPr>
        <w:pStyle w:val="ConsPlusTitle"/>
        <w:jc w:val="center"/>
      </w:pPr>
      <w:r>
        <w:t>СУБВЕНЦИИ МЕСТНЫМ БЮДЖЕТАМ ДЛЯ ОСУЩЕСТВЛЕНИЯ ПЕРЕДАННЫХ</w:t>
      </w:r>
    </w:p>
    <w:p w:rsidR="00F92ACC" w:rsidRDefault="00F92ACC">
      <w:pPr>
        <w:pStyle w:val="ConsPlusTitle"/>
        <w:jc w:val="center"/>
      </w:pPr>
      <w:r>
        <w:t>ГОСУДАРСТВЕННЫХ ПОЛНОМОЧИЙ ПО СТИМУЛИРОВАНИЮ УВЕЛИЧЕНИЯ</w:t>
      </w:r>
    </w:p>
    <w:p w:rsidR="00F92ACC" w:rsidRDefault="00F92ACC">
      <w:pPr>
        <w:pStyle w:val="ConsPlusTitle"/>
        <w:jc w:val="center"/>
      </w:pPr>
      <w:r>
        <w:t>ПРОИЗВОДСТВА КАРТОФЕЛЯ И ОВОЩЕЙ ЗА СЧЕТ СРЕДСТВ</w:t>
      </w:r>
    </w:p>
    <w:p w:rsidR="00F92ACC" w:rsidRDefault="00F92ACC">
      <w:pPr>
        <w:pStyle w:val="ConsPlusTitle"/>
        <w:jc w:val="center"/>
      </w:pPr>
      <w:r>
        <w:t>ФЕДЕРАЛЬНОГО И ОБЛАСТНОГО БЮДЖЕТОВ</w:t>
      </w:r>
    </w:p>
    <w:p w:rsidR="00F92ACC" w:rsidRDefault="00F92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2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F92ACC" w:rsidRDefault="00F92ACC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ACC" w:rsidRDefault="00F92ACC">
            <w:pPr>
              <w:pStyle w:val="ConsPlusNormal"/>
            </w:pPr>
          </w:p>
        </w:tc>
      </w:tr>
    </w:tbl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bookmarkStart w:id="1" w:name="P48"/>
      <w:bookmarkEnd w:id="1"/>
      <w:r>
        <w:t xml:space="preserve">1. Настоящие Порядок и условия разработаны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15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2. В целях настоящих Порядка и условий под проектом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 понимается пакет документов, включающий обоснование затрат по направлениям, предусмотренным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Иные понятия, используемые в настоящих Порядке и условиях, применяются в значениях, определенных Правилами.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2" w:name="P51"/>
      <w:bookmarkEnd w:id="2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16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</w:t>
      </w:r>
      <w:r>
        <w:lastRenderedPageBreak/>
        <w:t>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Понесенные получателем субсидии затраты по направлениям, предусмотренным настоящим пунктом, осуществляются в рамках реализации проектов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 (далее - проекты), прошедших отбор в соответствии с порядком проведения отбора проектов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 в целях стимулирования увеличения производства картофеля и овощей, утверждаемым Минсельхозпродом (далее - отбор проектов).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17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1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соответствующие категории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2007 г. N 209-ФЗ "О развитии малого и среднего предпринимательства в Российской Федерации".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6.2. Соответствие получателя субсидии следующим требованиям: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20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</w:t>
      </w:r>
      <w:r>
        <w:lastRenderedPageBreak/>
        <w:t>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9) в отношении получателя субсидии - индивидуального предпринимателя не должна быть введена процедура банкротства;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6.3. Получатель субсидии на посев при проведении агротехнологических работ использовал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</w:t>
      </w:r>
      <w:hyperlink r:id="rId22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3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4">
        <w:r>
          <w:rPr>
            <w:color w:val="0000FF"/>
          </w:rPr>
          <w:t>ГОСТ 33996-2016</w:t>
        </w:r>
      </w:hyperlink>
      <w:r>
        <w:t>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6.4. Предоставление получателем субсидии следующих документов: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документов). К реестру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в случае проведения агротехнологических работ - 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(регистрации) и протоколов испытаний, удостоверяющих соответствие сортовых и посевных качеств посадочного материала для овощных культур </w:t>
      </w:r>
      <w:hyperlink r:id="rId25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6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7">
        <w:r>
          <w:rPr>
            <w:color w:val="0000FF"/>
          </w:rPr>
          <w:t>ГОСТ 33996-2016</w:t>
        </w:r>
      </w:hyperlink>
      <w:r>
        <w:t xml:space="preserve">, а также актов расхода посадочного материала по </w:t>
      </w:r>
      <w:hyperlink r:id="rId28">
        <w:r>
          <w:rPr>
            <w:color w:val="0000FF"/>
          </w:rPr>
          <w:t>форме N СП-13</w:t>
        </w:r>
      </w:hyperlink>
      <w:r>
        <w:t>, утвержденной постановлением Госкомстата России от 29 сентября 1997 г. N 68.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6.5.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Условиями, включаемыми в соглашение, являются: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r>
        <w:lastRenderedPageBreak/>
        <w:t>в соглашении;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3) обязательства получателя субсидии: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по достижению значений результата предоставления субсидии, указанного в </w:t>
      </w:r>
      <w:hyperlink w:anchor="P122">
        <w:r>
          <w:rPr>
            <w:color w:val="0000FF"/>
          </w:rPr>
          <w:t>пункте 9</w:t>
        </w:r>
      </w:hyperlink>
      <w:r>
        <w:t xml:space="preserve"> настоящих Порядка и условий;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по предоставлению отчета о достижении значений результатов предоставления субсидии в срок до 31 января года, следующего за отчетным годом;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7. Размер предоставляемой субсидии определяется в следующем порядке: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3" w:name="P86"/>
      <w:bookmarkEnd w:id="3"/>
      <w:r>
        <w:t>7.1. Расчет размера субсидии осуществляется по ставкам на 1 гектар посевной площади, занятой картофелем и (или) овощными культурами открытого грунта, утверждаемым Минсельхозпродом.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на соответствующий финансовый год.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4" w:name="P89"/>
      <w:bookmarkEnd w:id="4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r>
        <w:t xml:space="preserve">С = </w:t>
      </w:r>
      <w:proofErr w:type="spellStart"/>
      <w:r>
        <w:t>Сп</w:t>
      </w:r>
      <w:proofErr w:type="spellEnd"/>
      <w:r>
        <w:t xml:space="preserve"> x К,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Сп</w:t>
      </w:r>
      <w:proofErr w:type="spellEnd"/>
      <w:r>
        <w:t xml:space="preserve"> - размер субсидии, рассчитанный в соответствии с </w:t>
      </w:r>
      <w:hyperlink w:anchor="P86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r>
        <w:t xml:space="preserve">К = V / </w:t>
      </w:r>
      <w:proofErr w:type="spellStart"/>
      <w:r>
        <w:t>Vнач</w:t>
      </w:r>
      <w:proofErr w:type="spellEnd"/>
      <w:r>
        <w:t>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Vнач</w:t>
      </w:r>
      <w:proofErr w:type="spellEnd"/>
      <w:r>
        <w:t xml:space="preserve">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При условии </w:t>
      </w:r>
      <w:proofErr w:type="gramStart"/>
      <w:r>
        <w:t>V&gt;</w:t>
      </w:r>
      <w:proofErr w:type="spellStart"/>
      <w:r>
        <w:t>V</w:t>
      </w:r>
      <w:proofErr w:type="gramEnd"/>
      <w:r>
        <w:t>нач</w:t>
      </w:r>
      <w:proofErr w:type="spellEnd"/>
      <w:r>
        <w:t xml:space="preserve"> коэффициент К равен 1.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Расчеты, произведенные главным распорядителем средств субсидии,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</w:t>
      </w:r>
      <w:r>
        <w:lastRenderedPageBreak/>
        <w:t xml:space="preserve">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При этом размер бюджетных средств, подлежащих выплате получателю субсидии (</w:t>
      </w:r>
      <w:proofErr w:type="spellStart"/>
      <w:r>
        <w:t>Сд</w:t>
      </w:r>
      <w:proofErr w:type="spellEnd"/>
      <w:r>
        <w:t>), определяется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Спд</w:t>
      </w:r>
      <w:proofErr w:type="spellEnd"/>
      <w:r>
        <w:t xml:space="preserve"> x Кд,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Спд</w:t>
      </w:r>
      <w:proofErr w:type="spellEnd"/>
      <w:r>
        <w:t xml:space="preserve"> - размер части субсидии, не предоставленной получателю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jc w:val="center"/>
      </w:pPr>
      <w:r>
        <w:t xml:space="preserve">Кд = </w:t>
      </w:r>
      <w:proofErr w:type="spellStart"/>
      <w:r>
        <w:t>Vд</w:t>
      </w:r>
      <w:proofErr w:type="spellEnd"/>
      <w:r>
        <w:t xml:space="preserve"> / </w:t>
      </w:r>
      <w:proofErr w:type="spellStart"/>
      <w:r>
        <w:t>Vднач</w:t>
      </w:r>
      <w:proofErr w:type="spellEnd"/>
      <w:r>
        <w:t>,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  <w:ind w:firstLine="540"/>
        <w:jc w:val="both"/>
      </w:pPr>
      <w:r>
        <w:t>где: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Vд</w:t>
      </w:r>
      <w:proofErr w:type="spellEnd"/>
      <w:r>
        <w:t xml:space="preserve"> - объем дополнительных лимитов бюджетных обязательств на предоставление субсидии;</w:t>
      </w:r>
    </w:p>
    <w:p w:rsidR="00F92ACC" w:rsidRDefault="00F92ACC">
      <w:pPr>
        <w:pStyle w:val="ConsPlusNormal"/>
        <w:spacing w:before="200"/>
        <w:ind w:firstLine="540"/>
        <w:jc w:val="both"/>
      </w:pPr>
      <w:proofErr w:type="spellStart"/>
      <w:r>
        <w:t>Vднач</w:t>
      </w:r>
      <w:proofErr w:type="spellEnd"/>
      <w:r>
        <w:t xml:space="preserve"> - общий объем субсидии, не предоставленной получателям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При условии </w:t>
      </w:r>
      <w:proofErr w:type="spellStart"/>
      <w:r>
        <w:t>V</w:t>
      </w:r>
      <w:proofErr w:type="gramStart"/>
      <w:r>
        <w:t>д</w:t>
      </w:r>
      <w:proofErr w:type="spellEnd"/>
      <w:r>
        <w:t>&gt;</w:t>
      </w:r>
      <w:proofErr w:type="spellStart"/>
      <w:r>
        <w:t>V</w:t>
      </w:r>
      <w:proofErr w:type="gramEnd"/>
      <w:r>
        <w:t>днач</w:t>
      </w:r>
      <w:proofErr w:type="spellEnd"/>
      <w:r>
        <w:t xml:space="preserve"> коэффициент Кд равен 1.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5" w:name="P122"/>
      <w:bookmarkEnd w:id="5"/>
      <w:r>
        <w:t>9. Результатами предоставления субсидии за период с 1 января по 31 декабря года получения субсидии являются: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 (гектаров);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посевная площадь под картофелем в сельскохозяйственных организациях, крестьянских (фермерских) хозяйствах, включая индивидуальных предпринимателей, составила (гектаров).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F92ACC" w:rsidRDefault="00F92ACC">
      <w:pPr>
        <w:pStyle w:val="ConsPlusNormal"/>
        <w:spacing w:before="200"/>
        <w:ind w:firstLine="540"/>
        <w:jc w:val="both"/>
      </w:pPr>
      <w:bookmarkStart w:id="6" w:name="P127"/>
      <w:bookmarkEnd w:id="6"/>
      <w:r>
        <w:t xml:space="preserve"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</w:t>
      </w:r>
      <w:r>
        <w:lastRenderedPageBreak/>
        <w:t>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F92ACC" w:rsidRDefault="00F92ACC">
      <w:pPr>
        <w:pStyle w:val="ConsPlusNormal"/>
        <w:spacing w:before="200"/>
        <w:ind w:firstLine="540"/>
        <w:jc w:val="both"/>
      </w:pPr>
      <w:r>
        <w:t xml:space="preserve">Размер предоставляемой в соответствии с </w:t>
      </w:r>
      <w:hyperlink w:anchor="P127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</w:p>
    <w:p w:rsidR="00F92ACC" w:rsidRDefault="00F92ACC">
      <w:pPr>
        <w:pStyle w:val="ConsPlusNormal"/>
      </w:pPr>
      <w:bookmarkStart w:id="7" w:name="_GoBack"/>
      <w:bookmarkEnd w:id="7"/>
    </w:p>
    <w:sectPr w:rsidR="00F92ACC" w:rsidSect="00D8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CC"/>
    <w:rsid w:val="0061370F"/>
    <w:rsid w:val="00633196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1967"/>
  <w15:chartTrackingRefBased/>
  <w15:docId w15:val="{92066314-8527-4411-9A02-0105E585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92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92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319908" TargetMode="External"/><Relationship Id="rId13" Type="http://schemas.openxmlformats.org/officeDocument/2006/relationships/hyperlink" Target="https://login.consultant.ru/link/?req=doc&amp;base=RLAW187&amp;n=292715&amp;dst=100012" TargetMode="External"/><Relationship Id="rId18" Type="http://schemas.openxmlformats.org/officeDocument/2006/relationships/hyperlink" Target="https://login.consultant.ru/link/?req=doc&amp;base=LAW&amp;n=511241&amp;dst=103395" TargetMode="External"/><Relationship Id="rId26" Type="http://schemas.openxmlformats.org/officeDocument/2006/relationships/hyperlink" Target="https://login.consultant.ru/link/?req=doc&amp;base=OTN&amp;n=83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3623" TargetMode="External"/><Relationship Id="rId7" Type="http://schemas.openxmlformats.org/officeDocument/2006/relationships/hyperlink" Target="https://login.consultant.ru/link/?req=doc&amp;base=RLAW187&amp;n=292715&amp;dst=100005" TargetMode="External"/><Relationship Id="rId12" Type="http://schemas.openxmlformats.org/officeDocument/2006/relationships/hyperlink" Target="https://login.consultant.ru/link/?req=doc&amp;base=RLAW187&amp;n=292715&amp;dst=100007" TargetMode="External"/><Relationship Id="rId17" Type="http://schemas.openxmlformats.org/officeDocument/2006/relationships/hyperlink" Target="https://login.consultant.ru/link/?req=doc&amp;base=LAW&amp;n=511241&amp;dst=7281" TargetMode="External"/><Relationship Id="rId25" Type="http://schemas.openxmlformats.org/officeDocument/2006/relationships/hyperlink" Target="https://login.consultant.ru/link/?req=doc&amp;base=OTN&amp;n=9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290414&amp;dst=149675" TargetMode="External"/><Relationship Id="rId20" Type="http://schemas.openxmlformats.org/officeDocument/2006/relationships/hyperlink" Target="https://login.consultant.ru/link/?req=doc&amp;base=INT&amp;n=15178&amp;dst=10014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80684&amp;dst=100005" TargetMode="External"/><Relationship Id="rId11" Type="http://schemas.openxmlformats.org/officeDocument/2006/relationships/hyperlink" Target="https://login.consultant.ru/link/?req=doc&amp;base=RLAW187&amp;n=292715&amp;dst=100006" TargetMode="External"/><Relationship Id="rId24" Type="http://schemas.openxmlformats.org/officeDocument/2006/relationships/hyperlink" Target="https://login.consultant.ru/link/?req=doc&amp;base=OTN&amp;n=17791" TargetMode="External"/><Relationship Id="rId5" Type="http://schemas.openxmlformats.org/officeDocument/2006/relationships/hyperlink" Target="https://login.consultant.ru/link/?req=doc&amp;base=RLAW187&amp;n=276928&amp;dst=100005" TargetMode="External"/><Relationship Id="rId15" Type="http://schemas.openxmlformats.org/officeDocument/2006/relationships/hyperlink" Target="https://login.consultant.ru/link/?req=doc&amp;base=LAW&amp;n=512055&amp;dst=82603" TargetMode="External"/><Relationship Id="rId23" Type="http://schemas.openxmlformats.org/officeDocument/2006/relationships/hyperlink" Target="https://login.consultant.ru/link/?req=doc&amp;base=OTN&amp;n=8378" TargetMode="External"/><Relationship Id="rId28" Type="http://schemas.openxmlformats.org/officeDocument/2006/relationships/hyperlink" Target="https://login.consultant.ru/link/?req=doc&amp;base=LAW&amp;n=27937&amp;dst=101244" TargetMode="External"/><Relationship Id="rId10" Type="http://schemas.openxmlformats.org/officeDocument/2006/relationships/hyperlink" Target="https://login.consultant.ru/link/?req=doc&amp;base=RLAW187&amp;n=290414&amp;dst=149675" TargetMode="External"/><Relationship Id="rId19" Type="http://schemas.openxmlformats.org/officeDocument/2006/relationships/hyperlink" Target="https://login.consultant.ru/link/?req=doc&amp;base=LAW&amp;n=505966" TargetMode="External"/><Relationship Id="rId4" Type="http://schemas.openxmlformats.org/officeDocument/2006/relationships/hyperlink" Target="https://login.consultant.ru/link/?req=doc&amp;base=RLAW187&amp;n=273010&amp;dst=100005" TargetMode="External"/><Relationship Id="rId9" Type="http://schemas.openxmlformats.org/officeDocument/2006/relationships/hyperlink" Target="https://login.consultant.ru/link/?req=doc&amp;base=LAW&amp;n=512055&amp;dst=82558" TargetMode="External"/><Relationship Id="rId14" Type="http://schemas.openxmlformats.org/officeDocument/2006/relationships/hyperlink" Target="https://login.consultant.ru/link/?req=doc&amp;base=RLAW187&amp;n=319908&amp;dst=103936" TargetMode="External"/><Relationship Id="rId22" Type="http://schemas.openxmlformats.org/officeDocument/2006/relationships/hyperlink" Target="https://login.consultant.ru/link/?req=doc&amp;base=OTN&amp;n=9815" TargetMode="External"/><Relationship Id="rId27" Type="http://schemas.openxmlformats.org/officeDocument/2006/relationships/hyperlink" Target="https://login.consultant.ru/link/?req=doc&amp;base=OTN&amp;n=1779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3797</Words>
  <Characters>21648</Characters>
  <Application>Microsoft Office Word</Application>
  <DocSecurity>0</DocSecurity>
  <Lines>180</Lines>
  <Paragraphs>50</Paragraphs>
  <ScaleCrop>false</ScaleCrop>
  <Company/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Трофимова</dc:creator>
  <cp:keywords/>
  <dc:description/>
  <cp:lastModifiedBy>Александра Трофимова</cp:lastModifiedBy>
  <cp:revision>2</cp:revision>
  <dcterms:created xsi:type="dcterms:W3CDTF">2025-08-22T14:18:00Z</dcterms:created>
  <dcterms:modified xsi:type="dcterms:W3CDTF">2025-08-22T14:21:00Z</dcterms:modified>
</cp:coreProperties>
</file>