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D1" w:rsidRDefault="00811D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1DD1" w:rsidRDefault="00811DD1">
      <w:pPr>
        <w:pStyle w:val="ConsPlusNormal"/>
        <w:ind w:firstLine="540"/>
        <w:jc w:val="both"/>
        <w:outlineLvl w:val="0"/>
      </w:pPr>
    </w:p>
    <w:p w:rsidR="00811DD1" w:rsidRDefault="00811DD1">
      <w:pPr>
        <w:pStyle w:val="ConsPlusNormal"/>
        <w:outlineLvl w:val="0"/>
      </w:pPr>
      <w:r>
        <w:t>Зарегистрировано в Минюсте России 6 декабря 2024 г. N 80485</w:t>
      </w:r>
    </w:p>
    <w:p w:rsidR="00811DD1" w:rsidRDefault="00811D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1DD1" w:rsidRDefault="00811DD1">
      <w:pPr>
        <w:pStyle w:val="ConsPlusNormal"/>
      </w:pPr>
    </w:p>
    <w:p w:rsidR="00811DD1" w:rsidRDefault="00811DD1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811DD1" w:rsidRDefault="00811DD1">
      <w:pPr>
        <w:pStyle w:val="ConsPlusTitle"/>
        <w:jc w:val="center"/>
      </w:pPr>
    </w:p>
    <w:p w:rsidR="00811DD1" w:rsidRDefault="00811DD1">
      <w:pPr>
        <w:pStyle w:val="ConsPlusTitle"/>
        <w:jc w:val="center"/>
      </w:pPr>
      <w:r>
        <w:t>ПРИКАЗ</w:t>
      </w:r>
    </w:p>
    <w:p w:rsidR="00811DD1" w:rsidRDefault="00811DD1">
      <w:pPr>
        <w:pStyle w:val="ConsPlusTitle"/>
        <w:jc w:val="center"/>
      </w:pPr>
      <w:r>
        <w:t>от 15 августа 2024 г. N 469</w:t>
      </w:r>
    </w:p>
    <w:p w:rsidR="00811DD1" w:rsidRDefault="00811DD1">
      <w:pPr>
        <w:pStyle w:val="ConsPlusTitle"/>
        <w:jc w:val="center"/>
      </w:pPr>
    </w:p>
    <w:p w:rsidR="00811DD1" w:rsidRDefault="00811DD1">
      <w:pPr>
        <w:pStyle w:val="ConsPlusTitle"/>
        <w:jc w:val="center"/>
      </w:pPr>
      <w:r>
        <w:t>ОБ УТВЕРЖДЕНИИ ПЛАНА</w:t>
      </w:r>
    </w:p>
    <w:p w:rsidR="00811DD1" w:rsidRDefault="00811DD1">
      <w:pPr>
        <w:pStyle w:val="ConsPlusTitle"/>
        <w:jc w:val="center"/>
      </w:pPr>
      <w:r>
        <w:t>СЕЛЬСКОХОЗЯЙСТВЕННОГО СТРАХОВАНИЯ НА 2025 ГОД</w:t>
      </w:r>
    </w:p>
    <w:p w:rsidR="00811DD1" w:rsidRDefault="00811D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1D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DD1" w:rsidRDefault="00811D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DD1" w:rsidRDefault="00811D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1DD1" w:rsidRDefault="00811D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1DD1" w:rsidRDefault="00811D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21.02.2025 N 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DD1" w:rsidRDefault="00811DD1">
            <w:pPr>
              <w:pStyle w:val="ConsPlusNormal"/>
            </w:pPr>
          </w:p>
        </w:tc>
      </w:tr>
    </w:tbl>
    <w:p w:rsidR="00811DD1" w:rsidRDefault="00811DD1">
      <w:pPr>
        <w:pStyle w:val="ConsPlusNormal"/>
        <w:jc w:val="center"/>
      </w:pPr>
    </w:p>
    <w:p w:rsidR="00811DD1" w:rsidRDefault="00811DD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10 статьи 2</w:t>
        </w:r>
      </w:hyperlink>
      <w:r>
        <w:t xml:space="preserve"> и </w:t>
      </w:r>
      <w:hyperlink r:id="rId7">
        <w:r>
          <w:rPr>
            <w:color w:val="0000FF"/>
          </w:rPr>
          <w:t>частью 2 статьи 6</w:t>
        </w:r>
      </w:hyperlink>
      <w:r>
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хозяйства", а также на основании </w:t>
      </w:r>
      <w:hyperlink r:id="rId8">
        <w:r>
          <w:rPr>
            <w:color w:val="0000FF"/>
          </w:rPr>
          <w:t>абзаца второго пункта 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450, приказываю:</w:t>
      </w:r>
    </w:p>
    <w:p w:rsidR="00811DD1" w:rsidRDefault="00811DD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План</w:t>
        </w:r>
      </w:hyperlink>
      <w:r>
        <w:t xml:space="preserve"> сельскохозяйственного страхования на 2025 год.</w:t>
      </w:r>
    </w:p>
    <w:p w:rsidR="00811DD1" w:rsidRDefault="00811DD1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2025 г.</w:t>
      </w: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  <w:r>
        <w:t>Министр</w:t>
      </w:r>
    </w:p>
    <w:p w:rsidR="00811DD1" w:rsidRDefault="00811DD1">
      <w:pPr>
        <w:pStyle w:val="ConsPlusNormal"/>
        <w:jc w:val="right"/>
      </w:pPr>
      <w:r>
        <w:t>О.Н.ЛУТ</w:t>
      </w: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  <w:outlineLvl w:val="0"/>
      </w:pPr>
      <w:r>
        <w:t>Утвержден</w:t>
      </w:r>
    </w:p>
    <w:p w:rsidR="00811DD1" w:rsidRDefault="00811DD1">
      <w:pPr>
        <w:pStyle w:val="ConsPlusNormal"/>
        <w:jc w:val="right"/>
      </w:pPr>
      <w:r>
        <w:t>приказом Минсельхоза России</w:t>
      </w:r>
    </w:p>
    <w:p w:rsidR="00811DD1" w:rsidRDefault="00811DD1">
      <w:pPr>
        <w:pStyle w:val="ConsPlusNormal"/>
        <w:jc w:val="right"/>
      </w:pPr>
      <w:r>
        <w:t>от 15 августа 2024 г. N 469</w:t>
      </w: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Title"/>
        <w:jc w:val="center"/>
      </w:pPr>
      <w:bookmarkStart w:id="0" w:name="P29"/>
      <w:bookmarkEnd w:id="0"/>
      <w:r>
        <w:t>ПЛАН</w:t>
      </w:r>
    </w:p>
    <w:p w:rsidR="00811DD1" w:rsidRDefault="00811DD1">
      <w:pPr>
        <w:pStyle w:val="ConsPlusTitle"/>
        <w:jc w:val="center"/>
      </w:pPr>
      <w:r>
        <w:t>СЕЛЬСКОХОЗЯЙСТВЕННОГО СТРАХОВАНИЯ НА 2025 ГОД</w:t>
      </w:r>
    </w:p>
    <w:p w:rsidR="00811DD1" w:rsidRDefault="00811D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1D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DD1" w:rsidRDefault="00811D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DD1" w:rsidRDefault="00811D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1DD1" w:rsidRDefault="00811D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1DD1" w:rsidRDefault="00811D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21.02.2025 N 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DD1" w:rsidRDefault="00811DD1">
            <w:pPr>
              <w:pStyle w:val="ConsPlusNormal"/>
            </w:pPr>
          </w:p>
        </w:tc>
      </w:tr>
    </w:tbl>
    <w:p w:rsidR="00811DD1" w:rsidRDefault="00811DD1">
      <w:pPr>
        <w:pStyle w:val="ConsPlusNormal"/>
        <w:jc w:val="center"/>
      </w:pPr>
    </w:p>
    <w:p w:rsidR="00811DD1" w:rsidRDefault="00811DD1">
      <w:pPr>
        <w:pStyle w:val="ConsPlusNormal"/>
        <w:ind w:firstLine="540"/>
        <w:jc w:val="both"/>
      </w:pPr>
      <w:r>
        <w:t>План сельскохозяйственного страхования на 2025 год включает в себя:</w:t>
      </w:r>
    </w:p>
    <w:p w:rsidR="00811DD1" w:rsidRDefault="00811DD1">
      <w:pPr>
        <w:pStyle w:val="ConsPlusNormal"/>
        <w:spacing w:before="220"/>
        <w:ind w:firstLine="540"/>
        <w:jc w:val="both"/>
      </w:pPr>
      <w:r>
        <w:t xml:space="preserve">1) перечень 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 в 2025 году, согласно </w:t>
      </w:r>
      <w:hyperlink w:anchor="P53">
        <w:r>
          <w:rPr>
            <w:color w:val="0000FF"/>
          </w:rPr>
          <w:t>приложению N 1</w:t>
        </w:r>
      </w:hyperlink>
      <w:r>
        <w:t xml:space="preserve"> к настоящему Плану;</w:t>
      </w:r>
    </w:p>
    <w:p w:rsidR="00811DD1" w:rsidRDefault="00811DD1">
      <w:pPr>
        <w:pStyle w:val="ConsPlusNormal"/>
        <w:spacing w:before="220"/>
        <w:ind w:firstLine="540"/>
        <w:jc w:val="both"/>
      </w:pPr>
      <w:r>
        <w:t xml:space="preserve">2) перечень объектов сельскохозяйственного страхования по видам, половому, возрастному составу сельскохозяйственных животных, страхование которых подлежит государственной </w:t>
      </w:r>
      <w:r>
        <w:lastRenderedPageBreak/>
        <w:t xml:space="preserve">поддержке в 2025 году, согласно </w:t>
      </w:r>
      <w:hyperlink w:anchor="P168">
        <w:r>
          <w:rPr>
            <w:color w:val="0000FF"/>
          </w:rPr>
          <w:t>приложению N 2</w:t>
        </w:r>
      </w:hyperlink>
      <w:r>
        <w:t xml:space="preserve"> к настоящему Плану;</w:t>
      </w:r>
    </w:p>
    <w:p w:rsidR="00811DD1" w:rsidRDefault="00811DD1">
      <w:pPr>
        <w:pStyle w:val="ConsPlusNormal"/>
        <w:spacing w:before="220"/>
        <w:ind w:firstLine="540"/>
        <w:jc w:val="both"/>
      </w:pPr>
      <w:r>
        <w:t xml:space="preserve">3) перечень объектов сельскохозяйственного страхования по видам, возрастному составу объектов товарной аквакультуры (товарного рыбоводства), страхование которых подлежит государственной поддержке в 2025 году, согласно </w:t>
      </w:r>
      <w:hyperlink w:anchor="P219">
        <w:r>
          <w:rPr>
            <w:color w:val="0000FF"/>
          </w:rPr>
          <w:t>приложению N 3</w:t>
        </w:r>
      </w:hyperlink>
      <w:r>
        <w:t xml:space="preserve"> к настоящему Плану;</w:t>
      </w:r>
    </w:p>
    <w:p w:rsidR="00811DD1" w:rsidRDefault="00811DD1">
      <w:pPr>
        <w:pStyle w:val="ConsPlusNormal"/>
        <w:spacing w:before="220"/>
        <w:ind w:firstLine="540"/>
        <w:jc w:val="both"/>
      </w:pPr>
      <w:r>
        <w:t xml:space="preserve">4) предельные размеры ставок для расчета размера субсидий при сельскохозяйственном страховании урожая сельскохозяйственной культуры, посадок многолетних насаждений &lt;1&gt;,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сельскохозяйственных культур, а также участия страхователя в риске, согласно </w:t>
      </w:r>
      <w:hyperlink w:anchor="P242">
        <w:r>
          <w:rPr>
            <w:color w:val="0000FF"/>
          </w:rPr>
          <w:t>приложению N 4</w:t>
        </w:r>
      </w:hyperlink>
      <w:r>
        <w:t xml:space="preserve"> к настоящему Плану;</w:t>
      </w:r>
    </w:p>
    <w:p w:rsidR="00811DD1" w:rsidRDefault="00811DD1">
      <w:pPr>
        <w:pStyle w:val="ConsPlusNormal"/>
        <w:spacing w:before="220"/>
        <w:ind w:firstLine="540"/>
        <w:jc w:val="both"/>
      </w:pPr>
      <w:r>
        <w:t xml:space="preserve">5) предельные размеры ставок для расчета размера субсидий при сельскохозяйственном страховании сельскохозяйственных животных &lt;1&gt;,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участия страхователя в риске, согласно </w:t>
      </w:r>
      <w:hyperlink w:anchor="P27067">
        <w:r>
          <w:rPr>
            <w:color w:val="0000FF"/>
          </w:rPr>
          <w:t>приложению N 5</w:t>
        </w:r>
      </w:hyperlink>
      <w:r>
        <w:t xml:space="preserve"> к настоящему Плану;</w:t>
      </w:r>
    </w:p>
    <w:p w:rsidR="00811DD1" w:rsidRDefault="00811D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1DD1" w:rsidRDefault="00811DD1">
      <w:pPr>
        <w:pStyle w:val="ConsPlusNormal"/>
        <w:spacing w:before="220"/>
        <w:ind w:firstLine="540"/>
        <w:jc w:val="both"/>
      </w:pPr>
      <w:bookmarkStart w:id="1" w:name="P41"/>
      <w:bookmarkEnd w:id="1"/>
      <w:r>
        <w:t xml:space="preserve">&lt;1&gt; </w:t>
      </w:r>
      <w:hyperlink r:id="rId10">
        <w:r>
          <w:rPr>
            <w:color w:val="0000FF"/>
          </w:rPr>
          <w:t>Подпункт "з" пункта 8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приведенных в приложении N 8 к Государственной программе развития сельского хозяйства и регулирования рынков сельскохозяйственной продукции, сырья и продовольствия, утвержденных постановлением Правительства Российской Федерации от 14 июля 2012 г. N 717.</w:t>
      </w: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ind w:firstLine="540"/>
        <w:jc w:val="both"/>
      </w:pPr>
      <w:r>
        <w:t xml:space="preserve">6) предельные размеры ставок для расчета размера субсидий при сельскохозяйственном страховании объектов товарной аквакультуры (товарного рыбоводства) </w:t>
      </w:r>
      <w:hyperlink w:anchor="P41">
        <w:r>
          <w:rPr>
            <w:color w:val="0000FF"/>
          </w:rPr>
          <w:t>&lt;1&gt;</w:t>
        </w:r>
      </w:hyperlink>
      <w:r>
        <w:t xml:space="preserve">,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участия страхователя в риске, согласно </w:t>
      </w:r>
      <w:hyperlink w:anchor="P31313">
        <w:r>
          <w:rPr>
            <w:color w:val="0000FF"/>
          </w:rPr>
          <w:t>приложению N 6</w:t>
        </w:r>
      </w:hyperlink>
      <w:r>
        <w:t xml:space="preserve"> к настоящему Плану.</w:t>
      </w: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  <w:outlineLvl w:val="1"/>
      </w:pPr>
      <w:r>
        <w:t>Приложение N 1</w:t>
      </w:r>
    </w:p>
    <w:p w:rsidR="00811DD1" w:rsidRDefault="00811DD1">
      <w:pPr>
        <w:pStyle w:val="ConsPlusNormal"/>
        <w:jc w:val="right"/>
      </w:pPr>
      <w:r>
        <w:t>к Плану сельскохозяйственного</w:t>
      </w:r>
    </w:p>
    <w:p w:rsidR="00811DD1" w:rsidRDefault="00811DD1">
      <w:pPr>
        <w:pStyle w:val="ConsPlusNormal"/>
        <w:jc w:val="right"/>
      </w:pPr>
      <w:r>
        <w:t>страхования на 2025 год</w:t>
      </w: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Title"/>
        <w:jc w:val="center"/>
      </w:pPr>
      <w:bookmarkStart w:id="2" w:name="P53"/>
      <w:bookmarkEnd w:id="2"/>
      <w:r>
        <w:t>ПЕРЕЧЕНЬ</w:t>
      </w:r>
    </w:p>
    <w:p w:rsidR="00811DD1" w:rsidRDefault="00811DD1">
      <w:pPr>
        <w:pStyle w:val="ConsPlusTitle"/>
        <w:jc w:val="center"/>
      </w:pPr>
      <w:r>
        <w:t>ОБЪЕКТОВ СЕЛЬСКОХОЗЯЙСТВЕННОГО СТРАХОВАНИЯ ПО ВИДАМ, ГРУППАМ</w:t>
      </w:r>
    </w:p>
    <w:p w:rsidR="00811DD1" w:rsidRDefault="00811DD1">
      <w:pPr>
        <w:pStyle w:val="ConsPlusTitle"/>
        <w:jc w:val="center"/>
      </w:pPr>
      <w:r>
        <w:t>СЕЛЬСКОХОЗЯЙСТВЕННЫХ КУЛЬТУР, МНОГОЛЕТНИХ НАСАЖДЕНИЙ,</w:t>
      </w:r>
    </w:p>
    <w:p w:rsidR="00811DD1" w:rsidRDefault="00811DD1">
      <w:pPr>
        <w:pStyle w:val="ConsPlusTitle"/>
        <w:jc w:val="center"/>
      </w:pPr>
      <w:r>
        <w:t>СТРАХОВАНИЕ КОТОРЫХ ПОДЛЕЖИТ ГОСУДАРСТВЕННОЙ ПОДДЕРЖКЕ</w:t>
      </w:r>
    </w:p>
    <w:p w:rsidR="00811DD1" w:rsidRDefault="00811DD1">
      <w:pPr>
        <w:pStyle w:val="ConsPlusTitle"/>
        <w:jc w:val="center"/>
      </w:pPr>
      <w:r>
        <w:t>В 2025 ГОДУ</w:t>
      </w:r>
    </w:p>
    <w:p w:rsidR="00811DD1" w:rsidRDefault="00811DD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7"/>
        <w:gridCol w:w="6355"/>
      </w:tblGrid>
      <w:tr w:rsidR="00811DD1">
        <w:tc>
          <w:tcPr>
            <w:tcW w:w="2717" w:type="dxa"/>
          </w:tcPr>
          <w:p w:rsidR="00811DD1" w:rsidRDefault="00811DD1">
            <w:pPr>
              <w:pStyle w:val="ConsPlusNormal"/>
              <w:jc w:val="center"/>
            </w:pPr>
            <w:r>
              <w:t>Группы сельскохозяйственных культур и многолетних насаждений</w:t>
            </w:r>
          </w:p>
        </w:tc>
        <w:tc>
          <w:tcPr>
            <w:tcW w:w="6355" w:type="dxa"/>
          </w:tcPr>
          <w:p w:rsidR="00811DD1" w:rsidRDefault="00811DD1">
            <w:pPr>
              <w:pStyle w:val="ConsPlusNormal"/>
              <w:jc w:val="center"/>
            </w:pPr>
            <w:r>
              <w:t>Виды сельскохозяйственных культур и многолетних насаждений</w:t>
            </w:r>
          </w:p>
        </w:tc>
      </w:tr>
      <w:tr w:rsidR="00811DD1">
        <w:tc>
          <w:tcPr>
            <w:tcW w:w="2717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Рожь озимая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Ячмень озимый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Тритикале озимая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Тритикале яровая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Рожь яровая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Просо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Гречиха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Рис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Сорго (джугара)</w:t>
            </w:r>
          </w:p>
        </w:tc>
      </w:tr>
      <w:tr w:rsidR="00811DD1">
        <w:tc>
          <w:tcPr>
            <w:tcW w:w="2717" w:type="dxa"/>
            <w:vMerge w:val="restart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Горох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Фасоль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Чечевица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Бобы кормовые на зерно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Вика и смеси виковые (с преобладанием вики) на зерно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Люпин кормовой (сладкий) на зерно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Прочие зернобобовые (нут, чина и другие зернобобовые культуры)</w:t>
            </w:r>
          </w:p>
        </w:tc>
      </w:tr>
      <w:tr w:rsidR="00811DD1">
        <w:tc>
          <w:tcPr>
            <w:tcW w:w="2717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Лен-кудряш (масличный)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Клещевина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Соя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Горчица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Рыжик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Рапс озимый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Рапс яровой (кольза)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Кунжут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Сафлор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Арахис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Прочие масличные культуры (сурепица, перилла, ляллеманция и другие масличные культуры)</w:t>
            </w:r>
          </w:p>
        </w:tc>
      </w:tr>
      <w:tr w:rsidR="00811DD1">
        <w:tc>
          <w:tcPr>
            <w:tcW w:w="2717" w:type="dxa"/>
            <w:vMerge w:val="restart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Лен-долгунец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Конопля среднерусская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Конопля южная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Сахарная свекла фабричная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Маточники сахарной свеклы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Высадки-семенники сахарной свеклы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Табак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Цикорий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Прочие технические культуры (канатник, чуфа, люфа, ворсянка, фацелия и другие технические культуры)</w:t>
            </w:r>
          </w:p>
        </w:tc>
      </w:tr>
      <w:tr w:rsidR="00811DD1">
        <w:tc>
          <w:tcPr>
            <w:tcW w:w="2717" w:type="dxa"/>
            <w:vMerge w:val="restart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Корнеплодные кормовые культуры (кормовая свекла, брюква, турнепс и другие корнеплодные кормовые культуры)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Свекла кормовая сахарная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Маточники кормовых корнеплодов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Семенники кормовых корнеплодов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Бахчевые кормовые культуры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Семенники бахчевых кормовых культур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Кукуруза на корм (силос, зеленый корм и сенаж)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Культуры кормовые на силос (без кукурузы)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Однолетние травы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Многолетние травы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Топинамбур</w:t>
            </w:r>
          </w:p>
        </w:tc>
      </w:tr>
      <w:tr w:rsidR="00811DD1">
        <w:tc>
          <w:tcPr>
            <w:tcW w:w="2717" w:type="dxa"/>
            <w:vMerge w:val="restart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Бахчевые продовольственные культуры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Семенники бахчевых продовольственных культур</w:t>
            </w:r>
          </w:p>
        </w:tc>
      </w:tr>
      <w:tr w:rsidR="00811DD1">
        <w:tc>
          <w:tcPr>
            <w:tcW w:w="2717" w:type="dxa"/>
            <w:vAlign w:val="bottom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</w:tr>
      <w:tr w:rsidR="00811DD1">
        <w:tc>
          <w:tcPr>
            <w:tcW w:w="2717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Капуста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Огурцы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Томаты (помидоры)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Свекла столовая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Морковь столовая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Лук репчатый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Чеснок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Горох овощной (зеленый горошек)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Тыква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</w:tcPr>
          <w:p w:rsidR="00811DD1" w:rsidRDefault="00811DD1">
            <w:pPr>
              <w:pStyle w:val="ConsPlusNormal"/>
            </w:pPr>
            <w:r>
              <w:t>Кабачки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Прочие овощи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Маточники двухлетних овощных культур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Семенники однолетних овощных культур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Семенники двухлетних и многолетних овощных культур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Лук-севок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</w:tr>
      <w:tr w:rsidR="00811DD1">
        <w:tc>
          <w:tcPr>
            <w:tcW w:w="2717" w:type="dxa"/>
            <w:vMerge w:val="restart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Виноград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Семечковые (яблоня, груша, айва и другие семечковые)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Косточковые (слива, вишня, черешня, абрикос и другие косточковые)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Орехоплодные (грецкий орех, миндаль, фундук, фисташка, другие орехоплодные)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Субтропические (хурма, гранат, мушмула, фейхоа и другие субтропические)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Ягодные (земляника, малина, смородина, крыжовник, черноплодная рябина и другие ягодные)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Хмель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Чай (сортовой лист, грубый лист)</w:t>
            </w:r>
          </w:p>
        </w:tc>
      </w:tr>
      <w:tr w:rsidR="00811DD1">
        <w:tc>
          <w:tcPr>
            <w:tcW w:w="2717" w:type="dxa"/>
            <w:vMerge w:val="restart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Виноградники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Посадки семечковых (яблоня, груша, айва и другие семечковые)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Посадки косточковых (слива, вишня, черешня, абрикос и другие косточковые)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Посадки орехоплодных (грецкий орех, миндаль, фундук, фисташка, другие орехоплодные)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Посадки субтропических (хурма, гранат, мушмула, фейхоа и другие субтропические)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Ягодники (земляника, малина, смородина, крыжовник, черноплодная рябина и другие ягодники)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Плантации хмеля</w:t>
            </w:r>
          </w:p>
        </w:tc>
      </w:tr>
      <w:tr w:rsidR="00811DD1">
        <w:tc>
          <w:tcPr>
            <w:tcW w:w="271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355" w:type="dxa"/>
            <w:vAlign w:val="bottom"/>
          </w:tcPr>
          <w:p w:rsidR="00811DD1" w:rsidRDefault="00811DD1">
            <w:pPr>
              <w:pStyle w:val="ConsPlusNormal"/>
            </w:pPr>
            <w:r>
              <w:t>Плантации чая</w:t>
            </w:r>
          </w:p>
        </w:tc>
      </w:tr>
    </w:tbl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  <w:outlineLvl w:val="1"/>
      </w:pPr>
      <w:r>
        <w:t>Приложение N 2</w:t>
      </w:r>
    </w:p>
    <w:p w:rsidR="00811DD1" w:rsidRDefault="00811DD1">
      <w:pPr>
        <w:pStyle w:val="ConsPlusNormal"/>
        <w:jc w:val="right"/>
      </w:pPr>
      <w:r>
        <w:t>к Плану сельскохозяйственного</w:t>
      </w:r>
    </w:p>
    <w:p w:rsidR="00811DD1" w:rsidRDefault="00811DD1">
      <w:pPr>
        <w:pStyle w:val="ConsPlusNormal"/>
        <w:jc w:val="right"/>
      </w:pPr>
      <w:r>
        <w:t>страхования на 2025 год</w:t>
      </w: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Title"/>
        <w:jc w:val="center"/>
      </w:pPr>
      <w:bookmarkStart w:id="3" w:name="P168"/>
      <w:bookmarkEnd w:id="3"/>
      <w:r>
        <w:t>ПЕРЕЧЕНЬ</w:t>
      </w:r>
    </w:p>
    <w:p w:rsidR="00811DD1" w:rsidRDefault="00811DD1">
      <w:pPr>
        <w:pStyle w:val="ConsPlusTitle"/>
        <w:jc w:val="center"/>
      </w:pPr>
      <w:r>
        <w:t>ОБЪЕКТОВ СЕЛЬСКОХОЗЯЙСТВЕННОГО СТРАХОВАНИЯ ПО ВИДАМ,</w:t>
      </w:r>
    </w:p>
    <w:p w:rsidR="00811DD1" w:rsidRDefault="00811DD1">
      <w:pPr>
        <w:pStyle w:val="ConsPlusTitle"/>
        <w:jc w:val="center"/>
      </w:pPr>
      <w:r>
        <w:t>ПОЛОВОМУ, ВОЗРАСТНОМУ СОСТАВУ СЕЛЬСКОХОЗЯЙСТВЕННЫХ ЖИВОТНЫХ,</w:t>
      </w:r>
    </w:p>
    <w:p w:rsidR="00811DD1" w:rsidRDefault="00811DD1">
      <w:pPr>
        <w:pStyle w:val="ConsPlusTitle"/>
        <w:jc w:val="center"/>
      </w:pPr>
      <w:r>
        <w:t>СТРАХОВАНИЕ КОТОРЫХ ПОДЛЕЖИТ ГОСУДАРСТВЕННОЙ ПОДДЕРЖКЕ</w:t>
      </w:r>
    </w:p>
    <w:p w:rsidR="00811DD1" w:rsidRDefault="00811DD1">
      <w:pPr>
        <w:pStyle w:val="ConsPlusTitle"/>
        <w:jc w:val="center"/>
      </w:pPr>
      <w:r>
        <w:t>В 2025 ГОДУ</w:t>
      </w:r>
    </w:p>
    <w:p w:rsidR="00811DD1" w:rsidRDefault="00811DD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11"/>
        <w:gridCol w:w="1814"/>
        <w:gridCol w:w="2776"/>
      </w:tblGrid>
      <w:tr w:rsidR="00811DD1">
        <w:tc>
          <w:tcPr>
            <w:tcW w:w="4479" w:type="dxa"/>
            <w:gridSpan w:val="2"/>
          </w:tcPr>
          <w:p w:rsidR="00811DD1" w:rsidRDefault="00811DD1">
            <w:pPr>
              <w:pStyle w:val="ConsPlusNormal"/>
              <w:jc w:val="center"/>
            </w:pPr>
            <w:r>
              <w:t>Виды сельскохозяйственных животных</w:t>
            </w:r>
          </w:p>
        </w:tc>
        <w:tc>
          <w:tcPr>
            <w:tcW w:w="18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Половой состав</w:t>
            </w:r>
          </w:p>
        </w:tc>
        <w:tc>
          <w:tcPr>
            <w:tcW w:w="2776" w:type="dxa"/>
          </w:tcPr>
          <w:p w:rsidR="00811DD1" w:rsidRDefault="00811DD1">
            <w:pPr>
              <w:pStyle w:val="ConsPlusNormal"/>
              <w:jc w:val="center"/>
            </w:pPr>
            <w:r>
              <w:t>Возрастной состав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Крупный рогатый скот (буйволы, быки, волы, коровы, яки)</w:t>
            </w:r>
          </w:p>
        </w:tc>
        <w:tc>
          <w:tcPr>
            <w:tcW w:w="1814" w:type="dxa"/>
            <w:vMerge w:val="restart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Без ограничений</w:t>
            </w:r>
          </w:p>
        </w:tc>
        <w:tc>
          <w:tcPr>
            <w:tcW w:w="2776" w:type="dxa"/>
          </w:tcPr>
          <w:p w:rsidR="00811DD1" w:rsidRDefault="00811DD1">
            <w:pPr>
              <w:pStyle w:val="ConsPlusNormal"/>
            </w:pPr>
            <w:r>
              <w:t>За исключением телят в возрасте до 2 месяцев</w:t>
            </w:r>
          </w:p>
        </w:tc>
      </w:tr>
      <w:tr w:rsidR="00811DD1">
        <w:tc>
          <w:tcPr>
            <w:tcW w:w="2268" w:type="dxa"/>
            <w:vMerge w:val="restart"/>
          </w:tcPr>
          <w:p w:rsidR="00811DD1" w:rsidRDefault="00811DD1">
            <w:pPr>
              <w:pStyle w:val="ConsPlusNormal"/>
            </w:pPr>
            <w:r>
              <w:t>Мелкий рогатый скот</w:t>
            </w: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Козы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  <w:vMerge w:val="restart"/>
          </w:tcPr>
          <w:p w:rsidR="00811DD1" w:rsidRDefault="00811DD1">
            <w:pPr>
              <w:pStyle w:val="ConsPlusNormal"/>
            </w:pPr>
            <w:r>
              <w:t>За исключением козлят и ягнят в возрасте до 4 месяцев</w:t>
            </w:r>
          </w:p>
        </w:tc>
      </w:tr>
      <w:tr w:rsidR="00811DD1">
        <w:tc>
          <w:tcPr>
            <w:tcW w:w="2268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Овцы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  <w:vMerge/>
          </w:tcPr>
          <w:p w:rsidR="00811DD1" w:rsidRDefault="00811DD1">
            <w:pPr>
              <w:pStyle w:val="ConsPlusNormal"/>
            </w:pPr>
          </w:p>
        </w:tc>
      </w:tr>
      <w:tr w:rsidR="00811DD1">
        <w:tc>
          <w:tcPr>
            <w:tcW w:w="4479" w:type="dxa"/>
            <w:gridSpan w:val="2"/>
          </w:tcPr>
          <w:p w:rsidR="00811DD1" w:rsidRDefault="00811DD1">
            <w:pPr>
              <w:pStyle w:val="ConsPlusNormal"/>
            </w:pPr>
            <w:r>
              <w:t>Свиньи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</w:tcPr>
          <w:p w:rsidR="00811DD1" w:rsidRDefault="00811DD1">
            <w:pPr>
              <w:pStyle w:val="ConsPlusNormal"/>
            </w:pPr>
            <w:r>
              <w:t>За исключением поросят в возрасте до 4 недель</w:t>
            </w:r>
          </w:p>
        </w:tc>
      </w:tr>
      <w:tr w:rsidR="00811DD1">
        <w:tc>
          <w:tcPr>
            <w:tcW w:w="2268" w:type="dxa"/>
            <w:vMerge w:val="restart"/>
          </w:tcPr>
          <w:p w:rsidR="00811DD1" w:rsidRDefault="00811DD1">
            <w:pPr>
              <w:pStyle w:val="ConsPlusNormal"/>
            </w:pPr>
            <w:r>
              <w:t>Лошади, лошаки, мулы, ослы</w:t>
            </w: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Лошади (включая мясных и табунных лошадей)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  <w:vMerge w:val="restart"/>
          </w:tcPr>
          <w:p w:rsidR="00811DD1" w:rsidRDefault="00811DD1">
            <w:pPr>
              <w:pStyle w:val="ConsPlusNormal"/>
            </w:pPr>
            <w:r>
              <w:t>За исключением молодняка в возрасте до 4 месяцев</w:t>
            </w:r>
          </w:p>
        </w:tc>
      </w:tr>
      <w:tr w:rsidR="00811DD1">
        <w:tc>
          <w:tcPr>
            <w:tcW w:w="2268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Ослы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  <w:vMerge/>
          </w:tcPr>
          <w:p w:rsidR="00811DD1" w:rsidRDefault="00811DD1">
            <w:pPr>
              <w:pStyle w:val="ConsPlusNormal"/>
            </w:pPr>
          </w:p>
        </w:tc>
      </w:tr>
      <w:tr w:rsidR="00811DD1">
        <w:tc>
          <w:tcPr>
            <w:tcW w:w="2268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Мулы, лошаки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  <w:vMerge/>
          </w:tcPr>
          <w:p w:rsidR="00811DD1" w:rsidRDefault="00811DD1">
            <w:pPr>
              <w:pStyle w:val="ConsPlusNormal"/>
            </w:pPr>
          </w:p>
        </w:tc>
      </w:tr>
      <w:tr w:rsidR="00811DD1">
        <w:tc>
          <w:tcPr>
            <w:tcW w:w="4479" w:type="dxa"/>
            <w:gridSpan w:val="2"/>
          </w:tcPr>
          <w:p w:rsidR="00811DD1" w:rsidRDefault="00811DD1">
            <w:pPr>
              <w:pStyle w:val="ConsPlusNormal"/>
            </w:pPr>
            <w:r>
              <w:t>Верблюды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</w:tcPr>
          <w:p w:rsidR="00811DD1" w:rsidRDefault="00811DD1">
            <w:pPr>
              <w:pStyle w:val="ConsPlusNormal"/>
            </w:pPr>
            <w:r>
              <w:t>За исключением верблюжат в возрасте до 4 месяцев</w:t>
            </w:r>
          </w:p>
        </w:tc>
      </w:tr>
      <w:tr w:rsidR="00811DD1">
        <w:tc>
          <w:tcPr>
            <w:tcW w:w="2268" w:type="dxa"/>
            <w:vMerge w:val="restart"/>
          </w:tcPr>
          <w:p w:rsidR="00811DD1" w:rsidRDefault="00811DD1">
            <w:pPr>
              <w:pStyle w:val="ConsPlusNormal"/>
            </w:pPr>
            <w:r>
              <w:t>Олени</w:t>
            </w: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Домашние северные олени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  <w:vMerge w:val="restart"/>
          </w:tcPr>
          <w:p w:rsidR="00811DD1" w:rsidRDefault="00811DD1">
            <w:pPr>
              <w:pStyle w:val="ConsPlusNormal"/>
            </w:pPr>
            <w:r>
              <w:t>За исключением молодняка в возрасте до 4 месяцев</w:t>
            </w:r>
          </w:p>
        </w:tc>
      </w:tr>
      <w:tr w:rsidR="00811DD1">
        <w:tc>
          <w:tcPr>
            <w:tcW w:w="2268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Пятнистые олени, маралы (пантовые олени)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  <w:vMerge/>
          </w:tcPr>
          <w:p w:rsidR="00811DD1" w:rsidRDefault="00811DD1">
            <w:pPr>
              <w:pStyle w:val="ConsPlusNormal"/>
            </w:pPr>
          </w:p>
        </w:tc>
      </w:tr>
      <w:tr w:rsidR="00811DD1">
        <w:tc>
          <w:tcPr>
            <w:tcW w:w="2268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Кролики, пушные звери</w:t>
            </w: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Кролики домашние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  <w:vMerge w:val="restart"/>
          </w:tcPr>
          <w:p w:rsidR="00811DD1" w:rsidRDefault="00811DD1">
            <w:pPr>
              <w:pStyle w:val="ConsPlusNormal"/>
            </w:pPr>
            <w:r>
              <w:t>За исключением молодняка в возрасте до 2 месяцев</w:t>
            </w:r>
          </w:p>
        </w:tc>
      </w:tr>
      <w:tr w:rsidR="00811DD1">
        <w:tc>
          <w:tcPr>
            <w:tcW w:w="2268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Лисы, песцы, норки, бобры, нутрии, соболи, хори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  <w:vMerge/>
          </w:tcPr>
          <w:p w:rsidR="00811DD1" w:rsidRDefault="00811DD1">
            <w:pPr>
              <w:pStyle w:val="ConsPlusNormal"/>
            </w:pPr>
          </w:p>
        </w:tc>
      </w:tr>
      <w:tr w:rsidR="00811DD1">
        <w:tc>
          <w:tcPr>
            <w:tcW w:w="2268" w:type="dxa"/>
            <w:vMerge w:val="restart"/>
          </w:tcPr>
          <w:p w:rsidR="00811DD1" w:rsidRDefault="00811DD1">
            <w:pPr>
              <w:pStyle w:val="ConsPlusNormal"/>
            </w:pPr>
            <w:r>
              <w:t>Птица яйценоских пород и птица мясных пород, цыплята-бройлеры</w:t>
            </w: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Куры яичных и мясояичных пород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  <w:vMerge w:val="restart"/>
          </w:tcPr>
          <w:p w:rsidR="00811DD1" w:rsidRDefault="00811DD1">
            <w:pPr>
              <w:pStyle w:val="ConsPlusNormal"/>
            </w:pPr>
            <w:r>
              <w:t>Без ограничений</w:t>
            </w:r>
          </w:p>
        </w:tc>
      </w:tr>
      <w:tr w:rsidR="00811DD1">
        <w:tc>
          <w:tcPr>
            <w:tcW w:w="2268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Куры мясных пород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  <w:vMerge/>
          </w:tcPr>
          <w:p w:rsidR="00811DD1" w:rsidRDefault="00811DD1">
            <w:pPr>
              <w:pStyle w:val="ConsPlusNormal"/>
            </w:pPr>
          </w:p>
        </w:tc>
      </w:tr>
      <w:tr w:rsidR="00811DD1">
        <w:tc>
          <w:tcPr>
            <w:tcW w:w="2268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Утки, гуси, индейки, цесарки, перепелки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  <w:vMerge/>
          </w:tcPr>
          <w:p w:rsidR="00811DD1" w:rsidRDefault="00811DD1">
            <w:pPr>
              <w:pStyle w:val="ConsPlusNormal"/>
            </w:pP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Семьи пчел</w:t>
            </w:r>
          </w:p>
        </w:tc>
        <w:tc>
          <w:tcPr>
            <w:tcW w:w="2211" w:type="dxa"/>
          </w:tcPr>
          <w:p w:rsidR="00811DD1" w:rsidRDefault="00811DD1">
            <w:pPr>
              <w:pStyle w:val="ConsPlusNormal"/>
            </w:pPr>
            <w:r>
              <w:t>Пчелы</w:t>
            </w:r>
          </w:p>
        </w:tc>
        <w:tc>
          <w:tcPr>
            <w:tcW w:w="181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776" w:type="dxa"/>
          </w:tcPr>
          <w:p w:rsidR="00811DD1" w:rsidRDefault="00811DD1">
            <w:pPr>
              <w:pStyle w:val="ConsPlusNormal"/>
            </w:pPr>
            <w:r>
              <w:t>Без ограничений</w:t>
            </w:r>
          </w:p>
        </w:tc>
      </w:tr>
    </w:tbl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  <w:outlineLvl w:val="1"/>
      </w:pPr>
      <w:r>
        <w:t>Приложение N 3</w:t>
      </w:r>
    </w:p>
    <w:p w:rsidR="00811DD1" w:rsidRDefault="00811DD1">
      <w:pPr>
        <w:pStyle w:val="ConsPlusNormal"/>
        <w:jc w:val="right"/>
      </w:pPr>
      <w:r>
        <w:t>к Плану сельскохозяйственного</w:t>
      </w:r>
    </w:p>
    <w:p w:rsidR="00811DD1" w:rsidRDefault="00811DD1">
      <w:pPr>
        <w:pStyle w:val="ConsPlusNormal"/>
        <w:jc w:val="right"/>
      </w:pPr>
      <w:r>
        <w:t>страхования на 2025 год</w:t>
      </w: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Title"/>
        <w:jc w:val="center"/>
      </w:pPr>
      <w:bookmarkStart w:id="4" w:name="P219"/>
      <w:bookmarkEnd w:id="4"/>
      <w:r>
        <w:t>ПЕРЕЧЕНЬ</w:t>
      </w:r>
    </w:p>
    <w:p w:rsidR="00811DD1" w:rsidRDefault="00811DD1">
      <w:pPr>
        <w:pStyle w:val="ConsPlusTitle"/>
        <w:jc w:val="center"/>
      </w:pPr>
      <w:r>
        <w:t>ОБЪЕКТОВ СЕЛЬСКОХОЗЯЙСТВЕННОГО СТРАХОВАНИЯ ПО ВИДАМ,</w:t>
      </w:r>
    </w:p>
    <w:p w:rsidR="00811DD1" w:rsidRDefault="00811DD1">
      <w:pPr>
        <w:pStyle w:val="ConsPlusTitle"/>
        <w:jc w:val="center"/>
      </w:pPr>
      <w:r>
        <w:t>ВОЗРАСТНОМУ СОСТАВУ ОБЪЕКТОВ ТОВАРНОЙ АКВАКУЛЬТУРЫ</w:t>
      </w:r>
    </w:p>
    <w:p w:rsidR="00811DD1" w:rsidRDefault="00811DD1">
      <w:pPr>
        <w:pStyle w:val="ConsPlusTitle"/>
        <w:jc w:val="center"/>
      </w:pPr>
      <w:r>
        <w:t>(ТОВАРНОГО РЫБОВОДСТВА), СТРАХОВАНИЕ КОТОРЫХ ПОДЛЕЖИТ</w:t>
      </w:r>
    </w:p>
    <w:p w:rsidR="00811DD1" w:rsidRDefault="00811DD1">
      <w:pPr>
        <w:pStyle w:val="ConsPlusTitle"/>
        <w:jc w:val="center"/>
      </w:pPr>
      <w:r>
        <w:t>ГОСУДАРСТВЕННОЙ ПОДДЕРЖКЕ В 2025 ГОДУ</w:t>
      </w:r>
    </w:p>
    <w:p w:rsidR="00811DD1" w:rsidRDefault="00811DD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5"/>
        <w:gridCol w:w="3855"/>
      </w:tblGrid>
      <w:tr w:rsidR="00811DD1">
        <w:tc>
          <w:tcPr>
            <w:tcW w:w="5215" w:type="dxa"/>
          </w:tcPr>
          <w:p w:rsidR="00811DD1" w:rsidRDefault="00811DD1">
            <w:pPr>
              <w:pStyle w:val="ConsPlusNormal"/>
              <w:jc w:val="center"/>
            </w:pPr>
            <w:r>
              <w:t>Виды объектов товарной аквакультуры (товарного рыбоводства)</w:t>
            </w:r>
          </w:p>
        </w:tc>
        <w:tc>
          <w:tcPr>
            <w:tcW w:w="3855" w:type="dxa"/>
          </w:tcPr>
          <w:p w:rsidR="00811DD1" w:rsidRDefault="00811DD1">
            <w:pPr>
              <w:pStyle w:val="ConsPlusNormal"/>
              <w:jc w:val="center"/>
            </w:pPr>
            <w:r>
              <w:t>Возрастной состав</w:t>
            </w:r>
          </w:p>
        </w:tc>
      </w:tr>
      <w:tr w:rsidR="00811DD1">
        <w:tc>
          <w:tcPr>
            <w:tcW w:w="5215" w:type="dxa"/>
            <w:vAlign w:val="center"/>
          </w:tcPr>
          <w:p w:rsidR="00811DD1" w:rsidRDefault="00811DD1">
            <w:pPr>
              <w:pStyle w:val="ConsPlusNormal"/>
            </w:pPr>
            <w:r>
              <w:t>Лососевые виды рыб</w:t>
            </w:r>
          </w:p>
        </w:tc>
        <w:tc>
          <w:tcPr>
            <w:tcW w:w="3855" w:type="dxa"/>
            <w:vMerge w:val="restart"/>
            <w:vAlign w:val="center"/>
          </w:tcPr>
          <w:p w:rsidR="00811DD1" w:rsidRDefault="00811DD1">
            <w:pPr>
              <w:pStyle w:val="ConsPlusNormal"/>
            </w:pPr>
            <w:r>
              <w:t>Без ограничений</w:t>
            </w:r>
          </w:p>
        </w:tc>
      </w:tr>
      <w:tr w:rsidR="00811DD1">
        <w:tc>
          <w:tcPr>
            <w:tcW w:w="5215" w:type="dxa"/>
            <w:vAlign w:val="center"/>
          </w:tcPr>
          <w:p w:rsidR="00811DD1" w:rsidRDefault="00811DD1">
            <w:pPr>
              <w:pStyle w:val="ConsPlusNormal"/>
            </w:pPr>
            <w:r>
              <w:t>Осетровые виды рыб</w:t>
            </w:r>
          </w:p>
        </w:tc>
        <w:tc>
          <w:tcPr>
            <w:tcW w:w="3855" w:type="dxa"/>
            <w:vMerge/>
          </w:tcPr>
          <w:p w:rsidR="00811DD1" w:rsidRDefault="00811DD1">
            <w:pPr>
              <w:pStyle w:val="ConsPlusNormal"/>
            </w:pPr>
          </w:p>
        </w:tc>
      </w:tr>
      <w:tr w:rsidR="00811DD1">
        <w:tc>
          <w:tcPr>
            <w:tcW w:w="5215" w:type="dxa"/>
            <w:vAlign w:val="center"/>
          </w:tcPr>
          <w:p w:rsidR="00811DD1" w:rsidRDefault="00811DD1">
            <w:pPr>
              <w:pStyle w:val="ConsPlusNormal"/>
            </w:pPr>
            <w:r>
              <w:t>Карповые виды рыб</w:t>
            </w:r>
          </w:p>
        </w:tc>
        <w:tc>
          <w:tcPr>
            <w:tcW w:w="3855" w:type="dxa"/>
            <w:vMerge/>
          </w:tcPr>
          <w:p w:rsidR="00811DD1" w:rsidRDefault="00811DD1">
            <w:pPr>
              <w:pStyle w:val="ConsPlusNormal"/>
            </w:pPr>
          </w:p>
        </w:tc>
      </w:tr>
      <w:tr w:rsidR="00811DD1">
        <w:tc>
          <w:tcPr>
            <w:tcW w:w="5215" w:type="dxa"/>
            <w:vAlign w:val="center"/>
          </w:tcPr>
          <w:p w:rsidR="00811DD1" w:rsidRDefault="00811DD1">
            <w:pPr>
              <w:pStyle w:val="ConsPlusNormal"/>
            </w:pPr>
            <w:r>
              <w:t>Сомовые виды рыб</w:t>
            </w:r>
          </w:p>
        </w:tc>
        <w:tc>
          <w:tcPr>
            <w:tcW w:w="3855" w:type="dxa"/>
            <w:vMerge/>
          </w:tcPr>
          <w:p w:rsidR="00811DD1" w:rsidRDefault="00811DD1">
            <w:pPr>
              <w:pStyle w:val="ConsPlusNormal"/>
            </w:pPr>
          </w:p>
        </w:tc>
      </w:tr>
      <w:tr w:rsidR="00811DD1">
        <w:tc>
          <w:tcPr>
            <w:tcW w:w="5215" w:type="dxa"/>
            <w:vAlign w:val="center"/>
          </w:tcPr>
          <w:p w:rsidR="00811DD1" w:rsidRDefault="00811DD1">
            <w:pPr>
              <w:pStyle w:val="ConsPlusNormal"/>
            </w:pPr>
            <w:r>
              <w:t>Беспозвоночные</w:t>
            </w:r>
          </w:p>
        </w:tc>
        <w:tc>
          <w:tcPr>
            <w:tcW w:w="3855" w:type="dxa"/>
            <w:vMerge/>
          </w:tcPr>
          <w:p w:rsidR="00811DD1" w:rsidRDefault="00811DD1">
            <w:pPr>
              <w:pStyle w:val="ConsPlusNormal"/>
            </w:pPr>
          </w:p>
        </w:tc>
      </w:tr>
    </w:tbl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Normal"/>
        <w:jc w:val="right"/>
        <w:outlineLvl w:val="1"/>
      </w:pPr>
      <w:r>
        <w:t>Приложение N 4</w:t>
      </w:r>
    </w:p>
    <w:p w:rsidR="00811DD1" w:rsidRDefault="00811DD1">
      <w:pPr>
        <w:pStyle w:val="ConsPlusNormal"/>
        <w:jc w:val="right"/>
      </w:pPr>
      <w:r>
        <w:t>к Плану сельскохозяйственного</w:t>
      </w:r>
    </w:p>
    <w:p w:rsidR="00811DD1" w:rsidRDefault="00811DD1">
      <w:pPr>
        <w:pStyle w:val="ConsPlusNormal"/>
        <w:jc w:val="right"/>
      </w:pPr>
      <w:r>
        <w:t>страхования на 2025 год</w:t>
      </w: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Title"/>
        <w:jc w:val="center"/>
      </w:pPr>
      <w:bookmarkStart w:id="5" w:name="P242"/>
      <w:bookmarkEnd w:id="5"/>
      <w:r>
        <w:t>ПРЕДЕЛЬНЫЕ РАЗМЕРЫ СТАВОК</w:t>
      </w:r>
    </w:p>
    <w:p w:rsidR="00811DD1" w:rsidRDefault="00811DD1">
      <w:pPr>
        <w:pStyle w:val="ConsPlusTitle"/>
        <w:jc w:val="center"/>
      </w:pPr>
      <w:r>
        <w:t>ДЛЯ РАСЧЕТА РАЗМЕРА СУБСИДИЙ ПРИ СЕЛЬСКОХОЗЯЙСТВЕННОМ</w:t>
      </w:r>
    </w:p>
    <w:p w:rsidR="00811DD1" w:rsidRDefault="00811DD1">
      <w:pPr>
        <w:pStyle w:val="ConsPlusTitle"/>
        <w:jc w:val="center"/>
      </w:pPr>
      <w:r>
        <w:t>СТРАХОВАНИИ УРОЖАЯ СЕЛЬСКОХОЗЯЙСТВЕННОЙ КУЛЬТУРЫ, ПОСАДОК</w:t>
      </w:r>
    </w:p>
    <w:p w:rsidR="00811DD1" w:rsidRDefault="00811DD1">
      <w:pPr>
        <w:pStyle w:val="ConsPlusTitle"/>
        <w:jc w:val="center"/>
      </w:pPr>
      <w:r>
        <w:lastRenderedPageBreak/>
        <w:t>МНОГОЛЕТНИХ НАСАЖДЕНИЙ, РАССЧИТАННЫЕ В ТОМ ЧИСЛЕ</w:t>
      </w:r>
    </w:p>
    <w:p w:rsidR="00811DD1" w:rsidRDefault="00811DD1">
      <w:pPr>
        <w:pStyle w:val="ConsPlusTitle"/>
        <w:jc w:val="center"/>
      </w:pPr>
      <w:r>
        <w:t>С ИСПОЛЬЗОВАНИЕМ АКТУАРНЫХ МЕТОДОВ И ДИФФЕРЕНЦИРОВАННЫЕ</w:t>
      </w:r>
    </w:p>
    <w:p w:rsidR="00811DD1" w:rsidRDefault="00811DD1">
      <w:pPr>
        <w:pStyle w:val="ConsPlusTitle"/>
        <w:jc w:val="center"/>
      </w:pPr>
      <w:r>
        <w:t>ОТНОСИТЕЛЬНО СУБЪЕКТОВ РОССИЙСКОЙ ФЕДЕРАЦИИ И ОБЪЕКТОВ</w:t>
      </w:r>
    </w:p>
    <w:p w:rsidR="00811DD1" w:rsidRDefault="00811DD1">
      <w:pPr>
        <w:pStyle w:val="ConsPlusTitle"/>
        <w:jc w:val="center"/>
      </w:pPr>
      <w:r>
        <w:t>СЕЛЬСКОХОЗЯЙСТВЕННОГО СТРАХОВАНИЯ С УЧЕТОМ</w:t>
      </w:r>
    </w:p>
    <w:p w:rsidR="00811DD1" w:rsidRDefault="00811DD1">
      <w:pPr>
        <w:pStyle w:val="ConsPlusTitle"/>
        <w:jc w:val="center"/>
      </w:pPr>
      <w:r>
        <w:t>ПРИРОДНО-КЛИМАТИЧЕСКИХ УСЛОВИЙ ВЫРАЩИВАНИЯ</w:t>
      </w:r>
    </w:p>
    <w:p w:rsidR="00811DD1" w:rsidRDefault="00811DD1">
      <w:pPr>
        <w:pStyle w:val="ConsPlusTitle"/>
        <w:jc w:val="center"/>
      </w:pPr>
      <w:r>
        <w:t>СЕЛЬСКОХОЗЯЙСТВЕННЫХ КУЛЬТУР, А ТАКЖЕ УЧАСТИЯ СТРАХОВАТЕЛЯ</w:t>
      </w:r>
    </w:p>
    <w:p w:rsidR="00811DD1" w:rsidRDefault="00811DD1">
      <w:pPr>
        <w:pStyle w:val="ConsPlusTitle"/>
        <w:jc w:val="center"/>
      </w:pPr>
      <w:r>
        <w:t>В РИСКЕ</w:t>
      </w:r>
    </w:p>
    <w:p w:rsidR="00811DD1" w:rsidRDefault="00811DD1">
      <w:pPr>
        <w:pStyle w:val="ConsPlusNormal"/>
        <w:jc w:val="center"/>
      </w:pPr>
    </w:p>
    <w:p w:rsidR="00811DD1" w:rsidRDefault="00811DD1">
      <w:pPr>
        <w:pStyle w:val="ConsPlusNormal"/>
        <w:sectPr w:rsidR="00811DD1" w:rsidSect="00147B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7"/>
        <w:gridCol w:w="1337"/>
        <w:gridCol w:w="410"/>
        <w:gridCol w:w="410"/>
        <w:gridCol w:w="410"/>
        <w:gridCol w:w="346"/>
        <w:gridCol w:w="378"/>
        <w:gridCol w:w="346"/>
        <w:gridCol w:w="378"/>
        <w:gridCol w:w="346"/>
        <w:gridCol w:w="346"/>
        <w:gridCol w:w="843"/>
        <w:gridCol w:w="860"/>
        <w:gridCol w:w="1128"/>
        <w:gridCol w:w="861"/>
        <w:gridCol w:w="969"/>
        <w:gridCol w:w="696"/>
        <w:gridCol w:w="756"/>
        <w:gridCol w:w="1058"/>
        <w:gridCol w:w="1337"/>
        <w:gridCol w:w="506"/>
        <w:gridCol w:w="501"/>
        <w:gridCol w:w="475"/>
      </w:tblGrid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Группы сельскохозяйственных культур и многолетних насаждений</w:t>
            </w:r>
          </w:p>
        </w:tc>
        <w:tc>
          <w:tcPr>
            <w:tcW w:w="1622" w:type="dxa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t>Виды сельскохозяйственных культур и многолетних насаждений</w:t>
            </w:r>
          </w:p>
        </w:tc>
        <w:tc>
          <w:tcPr>
            <w:tcW w:w="12710" w:type="dxa"/>
            <w:gridSpan w:val="18"/>
          </w:tcPr>
          <w:p w:rsidR="00811DD1" w:rsidRDefault="00811DD1">
            <w:pPr>
              <w:pStyle w:val="ConsPlusNormal"/>
              <w:jc w:val="center"/>
            </w:pPr>
            <w:r>
              <w:t xml:space="preserve">Базовые предельные размеры ставок и поправочные коэффициенты в отношении событий, предусмотренных </w:t>
            </w:r>
            <w:hyperlink r:id="rId1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r:id="rId12">
              <w:r>
                <w:rPr>
                  <w:color w:val="0000FF"/>
                </w:rPr>
                <w:t>3 части 1 статьи 8</w:t>
              </w:r>
            </w:hyperlink>
            <w:r>
      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</w:t>
            </w:r>
          </w:p>
        </w:tc>
        <w:tc>
          <w:tcPr>
            <w:tcW w:w="2194" w:type="dxa"/>
            <w:gridSpan w:val="3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t>Предельные размеры ставок для расчета размера субсидии по объекту сельскохозяйственного страхования и событию "чрезвычайная ситуация природного характера" с учетом доли участия страхователя в риске в процентах от страховой суммы</w:t>
            </w:r>
          </w:p>
          <w:p w:rsidR="00811DD1" w:rsidRDefault="00811DD1">
            <w:pPr>
              <w:pStyle w:val="ConsPlusNormal"/>
              <w:jc w:val="center"/>
            </w:pPr>
            <w:r>
              <w:t xml:space="preserve">(в случае если в договоре сельскохозяйственного страхования отражено условие о применении доли участия страхователя в риске, </w:t>
            </w:r>
            <w:r>
              <w:lastRenderedPageBreak/>
              <w:t>отличной от указанных величин, применяется предельный размер ставки, соответствующий ближайшему большему значению доли участия страхователя в риске)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5953" w:type="dxa"/>
            <w:gridSpan w:val="9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t>Базовые предельные размеры ставок с учетом доли участия страхователя в риске в процентах от страховой суммы</w:t>
            </w:r>
          </w:p>
          <w:p w:rsidR="00811DD1" w:rsidRDefault="00811DD1">
            <w:pPr>
              <w:pStyle w:val="ConsPlusNormal"/>
              <w:jc w:val="center"/>
            </w:pPr>
            <w:r>
              <w:t>(в случае если в договоре сельскохозяйственного страхования в отношении объекта страхования установлены разные размеры доли участия страхователя в риске по разным событиям, применяется базовый предельный размер ставки, соответствующий наибольшей доле участия страхователя в риске по конкретному объекту страхования из числа указанных в договоре сельскохозяйственного страхования;</w:t>
            </w:r>
          </w:p>
          <w:p w:rsidR="00811DD1" w:rsidRDefault="00811DD1">
            <w:pPr>
              <w:pStyle w:val="ConsPlusNormal"/>
              <w:jc w:val="center"/>
            </w:pPr>
            <w:r>
              <w:t>в случае если в договоре сельскохозяйственного страхования отражено условие о применении доли участия страхователя в риске, отличной от указанных величин, применяется базовый предельный размер ставки, соответствующий ближайшему большему значению доли участия страхователя в риске)</w:t>
            </w:r>
          </w:p>
        </w:tc>
        <w:tc>
          <w:tcPr>
            <w:tcW w:w="6757" w:type="dxa"/>
            <w:gridSpan w:val="9"/>
          </w:tcPr>
          <w:p w:rsidR="00811DD1" w:rsidRDefault="00811DD1">
            <w:pPr>
              <w:pStyle w:val="ConsPlusNormal"/>
              <w:jc w:val="center"/>
            </w:pPr>
            <w:r>
              <w:t xml:space="preserve">Поправочные коэффициенты к базовым предельным размерам ставок в зависимости от событий (группы и (или) подгруппы событий), от воздействия которых застрахован риск утраты (гибели) объекта страхования в соответствии с договором сельскохозяйственного страхования, учитываемые при расчете предельных размеров ставок и итогового поправочного коэффициента в соответствии с </w:t>
            </w:r>
            <w:hyperlink r:id="rId13">
              <w:r>
                <w:rPr>
                  <w:color w:val="0000FF"/>
                </w:rPr>
                <w:t>пунктом 1</w:t>
              </w:r>
            </w:hyperlink>
            <w:r>
              <w:t xml:space="preserve"> Методики расчета предельных размеров ставок для расчета размера субсидий при сельскохозяйственном страховании урожая сельскохозяйственной культуры, посадок многолетних насаждений, сельскохозяйственных животных, объектов товарной аквакультуры (товарного рыбоводства), рассчитанных в том числе с использованием актуарных методов и дифференцированных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сельскохозяйственных культур, а также участия страхователя в риске </w:t>
            </w:r>
            <w:hyperlink w:anchor="P2705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gridSpan w:val="3"/>
            <w:vMerge/>
          </w:tcPr>
          <w:p w:rsidR="00811DD1" w:rsidRDefault="00811DD1">
            <w:pPr>
              <w:pStyle w:val="ConsPlusNormal"/>
            </w:pP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0" w:type="auto"/>
            <w:gridSpan w:val="9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4829" w:type="dxa"/>
            <w:gridSpan w:val="7"/>
          </w:tcPr>
          <w:p w:rsidR="00811DD1" w:rsidRDefault="00811DD1">
            <w:pPr>
              <w:pStyle w:val="ConsPlusNormal"/>
              <w:jc w:val="center"/>
            </w:pPr>
            <w:r>
              <w:t>Воздействие опасных для производства сельскохозяйственной продукции природных явлений и стихийных бедствий (в случае если в договоре сельскохозяйственного страхования указано одно, несколько или все из событий, входящих в подгруппу опасных для производства сельскохозяйственной продукции природных явлений и стихийных бедствий, применяется поправочный коэффициент, соответствующий подгруппе, в которую входят данные опасные природные явления и (или) стихийные бедствия)</w:t>
            </w:r>
          </w:p>
        </w:tc>
        <w:tc>
          <w:tcPr>
            <w:tcW w:w="964" w:type="dxa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964" w:type="dxa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t>Нарушение электро-, и (или) тепло-, и (или) водоснабжения в результате опасных природных явлений и стихийных бедствий при страховании сельскохозя</w:t>
            </w:r>
            <w:r>
              <w:lastRenderedPageBreak/>
              <w:t>йственных культур, выращиваемых в защищенном грунте или на мелиорируемых землях</w:t>
            </w:r>
          </w:p>
        </w:tc>
        <w:tc>
          <w:tcPr>
            <w:tcW w:w="0" w:type="auto"/>
            <w:gridSpan w:val="3"/>
            <w:vMerge/>
          </w:tcPr>
          <w:p w:rsidR="00811DD1" w:rsidRDefault="00811DD1">
            <w:pPr>
              <w:pStyle w:val="ConsPlusNormal"/>
            </w:pP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737" w:type="dxa"/>
          </w:tcPr>
          <w:p w:rsidR="00811DD1" w:rsidRDefault="00811D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811DD1" w:rsidRDefault="00811D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811DD1" w:rsidRDefault="00811D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811DD1" w:rsidRDefault="00811D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811DD1" w:rsidRDefault="00811D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24" w:type="dxa"/>
          </w:tcPr>
          <w:p w:rsidR="00811DD1" w:rsidRDefault="00811DD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24" w:type="dxa"/>
          </w:tcPr>
          <w:p w:rsidR="00811DD1" w:rsidRDefault="00811DD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811DD1" w:rsidRDefault="00811DD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811DD1" w:rsidRDefault="00811DD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811DD1" w:rsidRDefault="00811DD1">
            <w:pPr>
              <w:pStyle w:val="ConsPlusNormal"/>
              <w:jc w:val="center"/>
            </w:pPr>
            <w:r>
              <w:t>Атмосферная засуха, почвенная засуха, суховей</w:t>
            </w:r>
          </w:p>
        </w:tc>
        <w:tc>
          <w:tcPr>
            <w:tcW w:w="926" w:type="dxa"/>
          </w:tcPr>
          <w:p w:rsidR="00811DD1" w:rsidRDefault="00811DD1">
            <w:pPr>
              <w:pStyle w:val="ConsPlusNormal"/>
              <w:jc w:val="center"/>
            </w:pPr>
            <w:r>
              <w:t>Заморозки, выпревание, вымерзание, ледяная корка, раннее появление или установление снежного покров</w:t>
            </w:r>
            <w:r>
              <w:lastRenderedPageBreak/>
              <w:t>а, промерзание верхнего слоя почвы</w:t>
            </w:r>
          </w:p>
        </w:tc>
        <w:tc>
          <w:tcPr>
            <w:tcW w:w="794" w:type="dxa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Град, крупный град, сильный ливень, сильный и (или) продолжительный дождь, переувлажнение почвы</w:t>
            </w:r>
          </w:p>
        </w:tc>
        <w:tc>
          <w:tcPr>
            <w:tcW w:w="737" w:type="dxa"/>
          </w:tcPr>
          <w:p w:rsidR="00811DD1" w:rsidRDefault="00811DD1">
            <w:pPr>
              <w:pStyle w:val="ConsPlusNormal"/>
              <w:jc w:val="center"/>
            </w:pPr>
            <w:r>
              <w:t>Половодье, наводнение, подтопление, паводок</w:t>
            </w:r>
          </w:p>
        </w:tc>
        <w:tc>
          <w:tcPr>
            <w:tcW w:w="567" w:type="dxa"/>
          </w:tcPr>
          <w:p w:rsidR="00811DD1" w:rsidRDefault="00811DD1">
            <w:pPr>
              <w:pStyle w:val="ConsPlusNormal"/>
              <w:jc w:val="center"/>
            </w:pPr>
            <w:r>
              <w:t>Оползень, землетрясение, сход снежных лавин, сель</w:t>
            </w:r>
          </w:p>
        </w:tc>
        <w:tc>
          <w:tcPr>
            <w:tcW w:w="614" w:type="dxa"/>
          </w:tcPr>
          <w:p w:rsidR="00811DD1" w:rsidRDefault="00811DD1">
            <w:pPr>
              <w:pStyle w:val="ConsPlusNormal"/>
              <w:jc w:val="center"/>
            </w:pPr>
            <w:r>
              <w:t>Сильная пыльная (песчаная) буря, сильный и (или) ураганный ветер</w:t>
            </w:r>
          </w:p>
        </w:tc>
        <w:tc>
          <w:tcPr>
            <w:tcW w:w="624" w:type="dxa"/>
          </w:tcPr>
          <w:p w:rsidR="00811DD1" w:rsidRDefault="00811DD1">
            <w:pPr>
              <w:pStyle w:val="ConsPlusNormal"/>
              <w:jc w:val="center"/>
            </w:pPr>
            <w:r>
              <w:t>Природный пожар</w:t>
            </w:r>
          </w:p>
        </w:tc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730" w:type="dxa"/>
          </w:tcPr>
          <w:p w:rsidR="00811DD1" w:rsidRDefault="00811D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5" w:type="dxa"/>
          </w:tcPr>
          <w:p w:rsidR="00811DD1" w:rsidRDefault="00811D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49" w:type="dxa"/>
          </w:tcPr>
          <w:p w:rsidR="00811DD1" w:rsidRDefault="00811DD1">
            <w:pPr>
              <w:pStyle w:val="ConsPlusNormal"/>
              <w:jc w:val="center"/>
            </w:pPr>
            <w:r>
              <w:t>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2" w:type="dxa"/>
          </w:tcPr>
          <w:p w:rsidR="00811DD1" w:rsidRDefault="00811D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11DD1" w:rsidRDefault="00811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811DD1" w:rsidRDefault="00811D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811DD1" w:rsidRDefault="00811D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811DD1" w:rsidRDefault="00811D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811DD1" w:rsidRDefault="00811D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11DD1" w:rsidRDefault="00811D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811DD1" w:rsidRDefault="00811D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811DD1" w:rsidRDefault="00811D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811DD1" w:rsidRDefault="00811DD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11DD1" w:rsidRDefault="00811DD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26" w:type="dxa"/>
          </w:tcPr>
          <w:p w:rsidR="00811DD1" w:rsidRDefault="00811DD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811DD1" w:rsidRDefault="00811DD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811DD1" w:rsidRDefault="00811D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811DD1" w:rsidRDefault="00811DD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14" w:type="dxa"/>
          </w:tcPr>
          <w:p w:rsidR="00811DD1" w:rsidRDefault="00811DD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811DD1" w:rsidRDefault="00811DD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811DD1" w:rsidRDefault="00811DD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811DD1" w:rsidRDefault="00811D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0" w:type="dxa"/>
          </w:tcPr>
          <w:p w:rsidR="00811DD1" w:rsidRDefault="00811DD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15" w:type="dxa"/>
          </w:tcPr>
          <w:p w:rsidR="00811DD1" w:rsidRDefault="00811DD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49" w:type="dxa"/>
          </w:tcPr>
          <w:p w:rsidR="00811DD1" w:rsidRDefault="00811DD1">
            <w:pPr>
              <w:pStyle w:val="ConsPlusNormal"/>
              <w:jc w:val="center"/>
            </w:pPr>
            <w:r>
              <w:t>23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Белгородская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Брянская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груша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Владимирская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Воронежская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Ивановская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Калужская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Костромская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Курская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Липецкая область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Московская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Орловская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Гречиха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Рязанская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Горох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зернобобовые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Смоленская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Тамбовская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Тверская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Тульская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Гречиха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Рапс яровой (кольза)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Ярославская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г. Москва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Республика Карелия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 xml:space="preserve">Посадки многолетних </w:t>
            </w:r>
            <w:r>
              <w:lastRenderedPageBreak/>
              <w:t>насаждении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lastRenderedPageBreak/>
              <w:t>Республика Коми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Бичевые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Архангельская область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Ненецкий автономный округ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Бичевые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 xml:space="preserve">Посадки многолетних </w:t>
            </w:r>
            <w:r>
              <w:lastRenderedPageBreak/>
              <w:t>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lastRenderedPageBreak/>
              <w:t>Вологодская область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Калининградская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Гречиха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Рапс озимый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Ленинградская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Мурманская область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Новгородская область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Псковская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 xml:space="preserve">Посадки многолетних </w:t>
            </w:r>
            <w:r>
              <w:lastRenderedPageBreak/>
              <w:t>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lastRenderedPageBreak/>
              <w:t>г. Санкт-Петербург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Республика Адыгея (Адыгея)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Республика Калмыкия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Республика Крым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Краснодарский край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Астраханская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Рис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Волгоградская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Ростовская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blPrEx>
          <w:tblBorders>
            <w:left w:val="nil"/>
          </w:tblBorders>
        </w:tblPrEx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0,0,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г. Севастополь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Республика Дагестан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Рис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Виноград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многолетние насаждения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Виноградники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Посадки других многолетних насаждений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Республика Ингушетия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 xml:space="preserve">Другие зерновые </w:t>
            </w:r>
            <w:r>
              <w:lastRenderedPageBreak/>
              <w:t>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</w:t>
            </w:r>
            <w:r>
              <w:lastRenderedPageBreak/>
              <w:t>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  <w: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0,0</w:t>
            </w:r>
            <w: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0,0,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 xml:space="preserve">Другие </w:t>
            </w:r>
            <w:r>
              <w:lastRenderedPageBreak/>
              <w:t>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7,6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6,2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4,9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5,0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4,0</w:t>
            </w:r>
            <w:r>
              <w:lastRenderedPageBreak/>
              <w:t>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Кабардино-Балкарская Республика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 xml:space="preserve">Другое </w:t>
            </w:r>
            <w:r>
              <w:lastRenderedPageBreak/>
              <w:t>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3,4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2,9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2,2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1,4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1,1</w:t>
            </w:r>
            <w:r>
              <w:lastRenderedPageBreak/>
              <w:t>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lastRenderedPageBreak/>
              <w:t>Карачаево-Черкесская Республика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 xml:space="preserve">Другие </w:t>
            </w:r>
            <w:r>
              <w:lastRenderedPageBreak/>
              <w:t>технические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5,6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4,6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3,4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1,</w:t>
            </w:r>
            <w:r>
              <w:lastRenderedPageBreak/>
              <w:t>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2,4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1,8</w:t>
            </w:r>
            <w:r>
              <w:lastRenderedPageBreak/>
              <w:t>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Республика Северная Осетия - Алания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 xml:space="preserve">Зерновые </w:t>
            </w:r>
            <w:r>
              <w:lastRenderedPageBreak/>
              <w:t>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lastRenderedPageBreak/>
              <w:t xml:space="preserve">Пшеница </w:t>
            </w:r>
            <w:r>
              <w:lastRenderedPageBreak/>
              <w:t>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5,6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4,7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3,7</w:t>
            </w:r>
            <w:r>
              <w:lastRenderedPageBreak/>
              <w:t>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3,</w:t>
            </w: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2,</w:t>
            </w:r>
            <w: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</w:t>
            </w: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</w:t>
            </w:r>
            <w:r>
              <w:lastRenderedPageBreak/>
              <w:t>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2,1</w:t>
            </w:r>
            <w:r>
              <w:lastRenderedPageBreak/>
              <w:t>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1,7</w:t>
            </w:r>
            <w:r>
              <w:lastRenderedPageBreak/>
              <w:t>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Чеченская Республика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Ставропольский край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Горох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зернобобовые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,0,9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Республика Башкортостан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Республика Марий Эл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визы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Республика Мордовия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Республика Татарстан (Татарстан)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Удмуртская Республика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Чувашская Республика - Чувашия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 xml:space="preserve">Посадки многолетних </w:t>
            </w:r>
            <w:r>
              <w:lastRenderedPageBreak/>
              <w:t>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lastRenderedPageBreak/>
              <w:t>Пермский край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Кировская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Нижегородская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Оренбургская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 xml:space="preserve">Посадки многолетних </w:t>
            </w:r>
            <w:r>
              <w:lastRenderedPageBreak/>
              <w:t>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lastRenderedPageBreak/>
              <w:t>Пензенская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Самарская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Саратовская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,0,0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вилы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Ульяновская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Курганская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Свердловская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t>Тюменская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 xml:space="preserve">Посадки многолетних </w:t>
            </w:r>
            <w:r>
              <w:lastRenderedPageBreak/>
              <w:t>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  <w:vAlign w:val="center"/>
          </w:tcPr>
          <w:p w:rsidR="00811DD1" w:rsidRDefault="00811DD1">
            <w:pPr>
              <w:pStyle w:val="ConsPlusNormal"/>
              <w:outlineLvl w:val="2"/>
            </w:pPr>
            <w:r>
              <w:lastRenderedPageBreak/>
              <w:t>Ханты Мансийский автономный округ - Югра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Ямало-Ненецкий автономный округ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Челябинская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Республика Алтай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Республика Тыва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Республика Хакасия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Алтайский край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Гречиха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Красноярский край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Иркутская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 xml:space="preserve">Посадки многолетних </w:t>
            </w:r>
            <w:r>
              <w:lastRenderedPageBreak/>
              <w:t>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lastRenderedPageBreak/>
              <w:t>Кемеровская область - Кузбасс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Рапс яровой (кольза)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2/20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Новосибирская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Омская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Вес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 xml:space="preserve">Посадки многолетних </w:t>
            </w:r>
            <w:r>
              <w:lastRenderedPageBreak/>
              <w:t>насаждении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lastRenderedPageBreak/>
              <w:t>Томская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 '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Республика Бурятия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Республика Саха (Якутия)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Вес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Мастичные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Забайкальский край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Рапс яровой (кольза)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Камчатский край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Приморский край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Хабаровский край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Овес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Амурская область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Магаданская область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 xml:space="preserve">Посадки многолетних </w:t>
            </w:r>
            <w:r>
              <w:lastRenderedPageBreak/>
              <w:t>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lastRenderedPageBreak/>
              <w:t>Сахалинская область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1,20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Еврейская автономная область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Соя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5,10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11,10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</w:tr>
      <w:tr w:rsidR="00811DD1">
        <w:tc>
          <w:tcPr>
            <w:tcW w:w="18268" w:type="dxa"/>
            <w:gridSpan w:val="23"/>
          </w:tcPr>
          <w:p w:rsidR="00811DD1" w:rsidRDefault="00811DD1">
            <w:pPr>
              <w:pStyle w:val="ConsPlusNormal"/>
              <w:outlineLvl w:val="2"/>
            </w:pPr>
            <w:r>
              <w:t>Чукотский автономный округ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Зернобобовые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2,90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Картофель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</w:tr>
      <w:tr w:rsidR="00811DD1">
        <w:tc>
          <w:tcPr>
            <w:tcW w:w="1742" w:type="dxa"/>
            <w:vMerge w:val="restart"/>
          </w:tcPr>
          <w:p w:rsidR="00811DD1" w:rsidRDefault="00811DD1">
            <w:pPr>
              <w:pStyle w:val="ConsPlusNormal"/>
            </w:pPr>
            <w:r>
              <w:t>Овощи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1,10</w:t>
            </w:r>
          </w:p>
        </w:tc>
      </w:tr>
      <w:tr w:rsidR="00811DD1">
        <w:tc>
          <w:tcPr>
            <w:tcW w:w="0" w:type="auto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Другие овощи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4,60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1,80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9,90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2,60</w:t>
            </w:r>
          </w:p>
        </w:tc>
      </w:tr>
      <w:tr w:rsidR="00811DD1">
        <w:tc>
          <w:tcPr>
            <w:tcW w:w="1742" w:type="dxa"/>
          </w:tcPr>
          <w:p w:rsidR="00811DD1" w:rsidRDefault="00811DD1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1622" w:type="dxa"/>
            <w:vAlign w:val="center"/>
          </w:tcPr>
          <w:p w:rsidR="00811DD1" w:rsidRDefault="00811DD1">
            <w:pPr>
              <w:pStyle w:val="ConsPlusNormal"/>
            </w:pPr>
            <w:r>
              <w:t>Все виды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68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26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1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0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15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49" w:type="dxa"/>
            <w:vAlign w:val="center"/>
          </w:tcPr>
          <w:p w:rsidR="00811DD1" w:rsidRDefault="00811DD1">
            <w:pPr>
              <w:pStyle w:val="ConsPlusNormal"/>
              <w:jc w:val="center"/>
            </w:pPr>
            <w:r>
              <w:t>1,00</w:t>
            </w:r>
          </w:p>
        </w:tc>
      </w:tr>
    </w:tbl>
    <w:p w:rsidR="00811DD1" w:rsidRDefault="00811DD1">
      <w:pPr>
        <w:pStyle w:val="ConsPlusNormal"/>
        <w:sectPr w:rsidR="00811DD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ind w:firstLine="540"/>
        <w:jc w:val="both"/>
      </w:pPr>
      <w:r>
        <w:t>--------------------------------</w:t>
      </w:r>
    </w:p>
    <w:p w:rsidR="00811DD1" w:rsidRDefault="00811DD1">
      <w:pPr>
        <w:pStyle w:val="ConsPlusNormal"/>
        <w:spacing w:before="220"/>
        <w:ind w:firstLine="540"/>
        <w:jc w:val="both"/>
      </w:pPr>
      <w:bookmarkStart w:id="6" w:name="P27057"/>
      <w:bookmarkEnd w:id="6"/>
      <w:r>
        <w:t xml:space="preserve">&lt;1&gt; </w:t>
      </w:r>
      <w:hyperlink r:id="rId14">
        <w:r>
          <w:rPr>
            <w:color w:val="0000FF"/>
          </w:rPr>
          <w:t>Приказ</w:t>
        </w:r>
      </w:hyperlink>
      <w:r>
        <w:t xml:space="preserve"> Минсельхоза России от 28.07.2023 N 656 "Об утверждении Методики расчета предельных размеров ставок для расчета размера субсидий при сельскохозяйственном страховании урожая сельскохозяйственной культуры, посадок многолетних насаждений, сельскохозяйственных животных, объектов товарной аквакультуры (товарного рыбоводства), рассчитанных в том числе с использованием актуарных методов и дифференцированных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сельскохозяйственных культур, а также участия страхователя в риске" (зарегистрирован Минюстом России 20.09.2023, регистрационный N 75283).</w:t>
      </w: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jc w:val="right"/>
        <w:outlineLvl w:val="1"/>
      </w:pPr>
      <w:r>
        <w:t>Приложение N 5</w:t>
      </w:r>
    </w:p>
    <w:p w:rsidR="00811DD1" w:rsidRDefault="00811DD1">
      <w:pPr>
        <w:pStyle w:val="ConsPlusNormal"/>
        <w:jc w:val="right"/>
      </w:pPr>
      <w:r>
        <w:t>к Плану сельскохозяйственного</w:t>
      </w:r>
    </w:p>
    <w:p w:rsidR="00811DD1" w:rsidRDefault="00811DD1">
      <w:pPr>
        <w:pStyle w:val="ConsPlusNormal"/>
        <w:jc w:val="right"/>
      </w:pPr>
      <w:r>
        <w:t>страхования на 2025 год</w:t>
      </w:r>
    </w:p>
    <w:p w:rsidR="00811DD1" w:rsidRDefault="00811DD1">
      <w:pPr>
        <w:pStyle w:val="ConsPlusNormal"/>
        <w:jc w:val="right"/>
      </w:pPr>
    </w:p>
    <w:p w:rsidR="00811DD1" w:rsidRDefault="00811DD1">
      <w:pPr>
        <w:pStyle w:val="ConsPlusTitle"/>
        <w:jc w:val="center"/>
      </w:pPr>
      <w:bookmarkStart w:id="7" w:name="P27067"/>
      <w:bookmarkEnd w:id="7"/>
      <w:r>
        <w:t>ПРЕДЕЛЬНЫЕ РАЗМЕРЫ СТАВОК</w:t>
      </w:r>
    </w:p>
    <w:p w:rsidR="00811DD1" w:rsidRDefault="00811DD1">
      <w:pPr>
        <w:pStyle w:val="ConsPlusTitle"/>
        <w:jc w:val="center"/>
      </w:pPr>
      <w:r>
        <w:t>ДЛЯ РАСЧЕТА РАЗМЕРА СУБСИДИЙ ПРИ СЕЛЬСКОХОЗЯЙСТВЕННОМ</w:t>
      </w:r>
    </w:p>
    <w:p w:rsidR="00811DD1" w:rsidRDefault="00811DD1">
      <w:pPr>
        <w:pStyle w:val="ConsPlusTitle"/>
        <w:jc w:val="center"/>
      </w:pPr>
      <w:r>
        <w:t>СТРАХОВАНИИ СЕЛЬСКОХОЗЯЙСТВЕННЫХ ЖИВОТНЫХ, РАССЧИТАННЫЕ</w:t>
      </w:r>
    </w:p>
    <w:p w:rsidR="00811DD1" w:rsidRDefault="00811DD1">
      <w:pPr>
        <w:pStyle w:val="ConsPlusTitle"/>
        <w:jc w:val="center"/>
      </w:pPr>
      <w:r>
        <w:t>В ТОМ ЧИСЛЕ С ИСПОЛЬЗОВАНИЕМ АКТУАРНЫХ МЕТОДОВ</w:t>
      </w:r>
    </w:p>
    <w:p w:rsidR="00811DD1" w:rsidRDefault="00811DD1">
      <w:pPr>
        <w:pStyle w:val="ConsPlusTitle"/>
        <w:jc w:val="center"/>
      </w:pPr>
      <w:r>
        <w:t>И ДИФФЕРЕНЦИРОВАННЫЕ ОТНОСИТЕЛЬНО СУБЪЕКТОВ</w:t>
      </w:r>
    </w:p>
    <w:p w:rsidR="00811DD1" w:rsidRDefault="00811DD1">
      <w:pPr>
        <w:pStyle w:val="ConsPlusTitle"/>
        <w:jc w:val="center"/>
      </w:pPr>
      <w:r>
        <w:t>РОССИЙСКОЙ ФЕДЕРАЦИИ И ОБЪЕКТОВ СЕЛЬСКОХОЗЯЙСТВЕННОГО</w:t>
      </w:r>
    </w:p>
    <w:p w:rsidR="00811DD1" w:rsidRDefault="00811DD1">
      <w:pPr>
        <w:pStyle w:val="ConsPlusTitle"/>
        <w:jc w:val="center"/>
      </w:pPr>
      <w:r>
        <w:t>СТРАХОВАНИЯ С УЧЕТОМ УЧАСТИЯ СТРАХОВАТЕЛЯ В РИСКЕ</w:t>
      </w:r>
    </w:p>
    <w:p w:rsidR="00811DD1" w:rsidRDefault="00811D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11D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DD1" w:rsidRDefault="00811D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DD1" w:rsidRDefault="00811D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1DD1" w:rsidRDefault="00811D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1DD1" w:rsidRDefault="00811D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21.02.2025 N 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DD1" w:rsidRDefault="00811DD1">
            <w:pPr>
              <w:pStyle w:val="ConsPlusNormal"/>
            </w:pPr>
          </w:p>
        </w:tc>
      </w:tr>
    </w:tbl>
    <w:p w:rsidR="00811DD1" w:rsidRDefault="00811D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84"/>
        <w:gridCol w:w="587"/>
        <w:gridCol w:w="587"/>
        <w:gridCol w:w="587"/>
        <w:gridCol w:w="587"/>
        <w:gridCol w:w="587"/>
        <w:gridCol w:w="588"/>
        <w:gridCol w:w="737"/>
        <w:gridCol w:w="1474"/>
        <w:gridCol w:w="1536"/>
        <w:gridCol w:w="782"/>
      </w:tblGrid>
      <w:tr w:rsidR="00811DD1">
        <w:tc>
          <w:tcPr>
            <w:tcW w:w="2268" w:type="dxa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9036" w:type="dxa"/>
            <w:gridSpan w:val="11"/>
          </w:tcPr>
          <w:p w:rsidR="00811DD1" w:rsidRDefault="00811DD1">
            <w:pPr>
              <w:pStyle w:val="ConsPlusNormal"/>
              <w:jc w:val="center"/>
            </w:pPr>
            <w:r>
              <w:t xml:space="preserve">Базовые предельные размеры ставок и поправочные коэффициенты в отношении событий, предусмотренных </w:t>
            </w:r>
            <w:hyperlink r:id="rId16">
              <w:r>
                <w:rPr>
                  <w:color w:val="0000FF"/>
                </w:rPr>
                <w:t>частью 2 статьи 8</w:t>
              </w:r>
            </w:hyperlink>
            <w:r>
      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</w:t>
            </w:r>
          </w:p>
        </w:tc>
      </w:tr>
      <w:tr w:rsidR="00811DD1">
        <w:tc>
          <w:tcPr>
            <w:tcW w:w="2268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4507" w:type="dxa"/>
            <w:gridSpan w:val="7"/>
          </w:tcPr>
          <w:p w:rsidR="00811DD1" w:rsidRDefault="00811DD1">
            <w:pPr>
              <w:pStyle w:val="ConsPlusNormal"/>
              <w:jc w:val="center"/>
            </w:pPr>
            <w:r>
              <w:t>Базовые предельные размеры ставок с учетом доли участия страхователя в риске, % (в случае если в договоре сельскохозяйственного страхования в отношении объекта страхования установлены разные размеры доли участия страхователя в риске по разным событиям, применяется базовый предельный размер ставки, соответствующий наибольшей доле участия страхователя в риске по объекту страхования из числа указанных в договоре сельскохозяйственного страхования по конкретному объекту страхования. В случае если в договоре сельскохозяйственного страхования, осуществляемого с государственной поддержкой, отражено условие о применении доли участия страхователя в риске, отличной от указанных величин, то применяется базовый предельный размер ставки, соответствующий ближайшему большему значению доли участия страхователя в риске)</w:t>
            </w:r>
          </w:p>
        </w:tc>
        <w:tc>
          <w:tcPr>
            <w:tcW w:w="4529" w:type="dxa"/>
            <w:gridSpan w:val="4"/>
          </w:tcPr>
          <w:p w:rsidR="00811DD1" w:rsidRDefault="00811DD1">
            <w:pPr>
              <w:pStyle w:val="ConsPlusNormal"/>
              <w:jc w:val="center"/>
            </w:pPr>
            <w:r>
              <w:t xml:space="preserve">Поправочные коэффициенты к базовым предельным размерам ставок в зависимости от события (событий), от воздействия которого (которых) застрахован риск утраты (гибели) объекта страхования в соответствии с договором сельскохозяйственного страхования, учитываемые при расчете предельных размеров ставок и итогового поправочного коэффициента в соответствии с </w:t>
            </w:r>
            <w:hyperlink r:id="rId17">
              <w:r>
                <w:rPr>
                  <w:color w:val="0000FF"/>
                </w:rPr>
                <w:t>пунктом 10</w:t>
              </w:r>
            </w:hyperlink>
            <w:r>
              <w:t xml:space="preserve"> Методики расчета предельных размеров ставок для расчета размера субсидий при сельскохозяйственном страховании урожая сельскохозяйственной культуры, посадок многолетних насаждений, сельскохозяйственных животных, объектов товарной аквакультуры (товарного рыбоводства), рассчитанных в том числе с использованием актуарных методов и дифференцированных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сельскохозяйственных культур, а также участия страхователя в риске </w:t>
            </w:r>
            <w:hyperlink w:anchor="P31301">
              <w:r>
                <w:rPr>
                  <w:color w:val="0000FF"/>
                </w:rPr>
                <w:t>&lt;1&gt;</w:t>
              </w:r>
            </w:hyperlink>
          </w:p>
        </w:tc>
      </w:tr>
      <w:tr w:rsidR="00811DD1">
        <w:tc>
          <w:tcPr>
            <w:tcW w:w="2268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984" w:type="dxa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t>Без участия страхователя в риске</w:t>
            </w:r>
          </w:p>
        </w:tc>
        <w:tc>
          <w:tcPr>
            <w:tcW w:w="3523" w:type="dxa"/>
            <w:gridSpan w:val="6"/>
          </w:tcPr>
          <w:p w:rsidR="00811DD1" w:rsidRDefault="00811DD1">
            <w:pPr>
              <w:pStyle w:val="ConsPlusNormal"/>
              <w:jc w:val="center"/>
            </w:pPr>
            <w:r>
              <w:t>С учетом доли участия страхователя в риске (в процентах от страховой суммы)</w:t>
            </w:r>
          </w:p>
        </w:tc>
        <w:tc>
          <w:tcPr>
            <w:tcW w:w="737" w:type="dxa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t xml:space="preserve">Заразные болезни животных, возникновение </w:t>
            </w:r>
            <w:r>
              <w:lastRenderedPageBreak/>
              <w:t xml:space="preserve">очага заразной болезни животных, массовые отравления </w:t>
            </w:r>
            <w:hyperlink w:anchor="P3130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 xml:space="preserve">Воздействие всех, нескольких или одного из опасных для производства сельскохозяйственной продукции </w:t>
            </w:r>
            <w:r>
              <w:lastRenderedPageBreak/>
              <w:t>природных явлений и стихийных бедствий (удар молнии, землетрясение, сильная пыльная (песчаная) буря, ураганный ветер, сильная метель, буран, наводнение, обвал, сход снежных лавин, сель, оползень)</w:t>
            </w:r>
          </w:p>
        </w:tc>
        <w:tc>
          <w:tcPr>
            <w:tcW w:w="1536" w:type="dxa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 xml:space="preserve">Нарушение электро-, и (или) тепло-, и (или) водоснабжения в результате стихийных бедствий, если условия </w:t>
            </w:r>
            <w:r>
              <w:lastRenderedPageBreak/>
              <w:t>содержания сельскохозяйственных животных предусматривают обязательное использование электрической, тепловой энергии, воды</w:t>
            </w:r>
          </w:p>
        </w:tc>
        <w:tc>
          <w:tcPr>
            <w:tcW w:w="782" w:type="dxa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Пожар</w:t>
            </w:r>
          </w:p>
        </w:tc>
      </w:tr>
      <w:tr w:rsidR="00811DD1">
        <w:tc>
          <w:tcPr>
            <w:tcW w:w="2268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98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587" w:type="dxa"/>
          </w:tcPr>
          <w:p w:rsidR="00811DD1" w:rsidRDefault="00811D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7" w:type="dxa"/>
          </w:tcPr>
          <w:p w:rsidR="00811DD1" w:rsidRDefault="00811D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7" w:type="dxa"/>
          </w:tcPr>
          <w:p w:rsidR="00811DD1" w:rsidRDefault="00811D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7" w:type="dxa"/>
          </w:tcPr>
          <w:p w:rsidR="00811DD1" w:rsidRDefault="00811D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7" w:type="dxa"/>
          </w:tcPr>
          <w:p w:rsidR="00811DD1" w:rsidRDefault="00811D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8" w:type="dxa"/>
          </w:tcPr>
          <w:p w:rsidR="00811DD1" w:rsidRDefault="00811D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474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1536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782" w:type="dxa"/>
            <w:vMerge/>
          </w:tcPr>
          <w:p w:rsidR="00811DD1" w:rsidRDefault="00811DD1">
            <w:pPr>
              <w:pStyle w:val="ConsPlusNormal"/>
            </w:pP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84" w:type="dxa"/>
          </w:tcPr>
          <w:p w:rsidR="00811DD1" w:rsidRDefault="00811D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7" w:type="dxa"/>
          </w:tcPr>
          <w:p w:rsidR="00811DD1" w:rsidRDefault="00811D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7" w:type="dxa"/>
          </w:tcPr>
          <w:p w:rsidR="00811DD1" w:rsidRDefault="00811D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7" w:type="dxa"/>
          </w:tcPr>
          <w:p w:rsidR="00811DD1" w:rsidRDefault="00811D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7" w:type="dxa"/>
          </w:tcPr>
          <w:p w:rsidR="00811DD1" w:rsidRDefault="00811D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7" w:type="dxa"/>
          </w:tcPr>
          <w:p w:rsidR="00811DD1" w:rsidRDefault="00811D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8" w:type="dxa"/>
          </w:tcPr>
          <w:p w:rsidR="00811DD1" w:rsidRDefault="00811D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811DD1" w:rsidRDefault="00811D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811DD1" w:rsidRDefault="00811D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6" w:type="dxa"/>
          </w:tcPr>
          <w:p w:rsidR="00811DD1" w:rsidRDefault="00811DD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2" w:type="dxa"/>
          </w:tcPr>
          <w:p w:rsidR="00811DD1" w:rsidRDefault="00811DD1">
            <w:pPr>
              <w:pStyle w:val="ConsPlusNormal"/>
              <w:jc w:val="center"/>
            </w:pPr>
            <w:r>
              <w:t>12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Крупный рогатый скот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Брянская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Ивановская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Курская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Липецкая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Тверская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Тульская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г. Москва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Коми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Ненецкий автономный округ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Южный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Крым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г. Севастополь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Северо-Кавказский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 xml:space="preserve">Удмуртская </w:t>
            </w:r>
            <w:r>
              <w:lastRenderedPageBreak/>
              <w:t>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lastRenderedPageBreak/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Чувашская Республика - Чувашия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Пермский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1.71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1.61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1.47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0.76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0.05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0.13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Челябинская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Сибирский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Алтай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Тыва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Алтайский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Омская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Томская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Камчатский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Приморский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Хабаровский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Амурская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0,13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Мелкий рогатый скот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Брянская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Курская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Липецкая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Тверская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Тульская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г. Москва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Коми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Ленинградская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Южный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Крым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0.08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г. Севастополь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Северо-Кавказский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Кабардино-Балкарская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Пермский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Нижегородская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Сибирский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Алтай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Тыва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Алтайский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Омская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Томская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Камчатский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Приморский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Хабаровский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Амурская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Еврейская автономная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Свиньи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4,11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Брянская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Курская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Липецкая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8,23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7,52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6,85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6,33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5,21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4,62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5,41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4,95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Тамбовская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Тверская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4,43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Тульская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2.64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0.02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0.11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г. Москва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5,54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4,54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Коми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5,29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lastRenderedPageBreak/>
              <w:t>Южный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Крым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г. Севастополь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Северо-Кавказский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4,29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6,60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Чеченская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Пермский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4,52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Ульяновская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Сибирский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Алтай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Тыва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Алтайский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 xml:space="preserve">Новосибирская </w:t>
            </w:r>
            <w:r>
              <w:lastRenderedPageBreak/>
              <w:t>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lastRenderedPageBreak/>
              <w:t>3,55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Омская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Томская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Камчатский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Приморский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Хабаровский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Амурская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1.21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1.07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0.94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0.06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0.11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Птица яйценоских пород и птица мясных пород, цыплята-бройлеры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Белгородская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Брянская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Курская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Липецкая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Тверская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Тульская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г. Москва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lastRenderedPageBreak/>
              <w:t>Северо-Западный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Коми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Ненецким автономный округ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Южный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Крым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Краснодарский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4,11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г. Севастополь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Северо-Кавказский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Республика Марий Эл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6,03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5,06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Пермский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Ханты-Мансийский автономный округ - Югра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Сибирский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Алтай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Тыва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6,25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5,82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4,74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Алтайский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Омская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Томская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Республика Саха (Якутия)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Камчатский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Приморский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Хабаровский край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Амурская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Лошади, лошаки, мулы, ослы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Верблюды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Олени (маралы, пятнистые олени, северные олени)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lastRenderedPageBreak/>
              <w:t>Все субъекты Российской Федерации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2,98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2,75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Кролики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Пушные звери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6,20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5,69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5,19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4,81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4,29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3,78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  <w:tr w:rsidR="00811DD1">
        <w:tc>
          <w:tcPr>
            <w:tcW w:w="11304" w:type="dxa"/>
            <w:gridSpan w:val="12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Семьи пчел</w:t>
            </w:r>
          </w:p>
        </w:tc>
      </w:tr>
      <w:tr w:rsidR="00811DD1">
        <w:tc>
          <w:tcPr>
            <w:tcW w:w="2268" w:type="dxa"/>
          </w:tcPr>
          <w:p w:rsidR="00811DD1" w:rsidRDefault="00811DD1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98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58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58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47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6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8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0,11</w:t>
            </w:r>
          </w:p>
        </w:tc>
      </w:tr>
    </w:tbl>
    <w:p w:rsidR="00811DD1" w:rsidRDefault="00811DD1">
      <w:pPr>
        <w:pStyle w:val="ConsPlusNormal"/>
        <w:sectPr w:rsidR="00811DD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ind w:firstLine="540"/>
        <w:jc w:val="both"/>
      </w:pPr>
      <w:r>
        <w:t>--------------------------------</w:t>
      </w:r>
    </w:p>
    <w:p w:rsidR="00811DD1" w:rsidRDefault="00811DD1">
      <w:pPr>
        <w:pStyle w:val="ConsPlusNormal"/>
        <w:spacing w:before="220"/>
        <w:ind w:firstLine="540"/>
        <w:jc w:val="both"/>
      </w:pPr>
      <w:bookmarkStart w:id="8" w:name="P31301"/>
      <w:bookmarkEnd w:id="8"/>
      <w:r>
        <w:t xml:space="preserve">&lt;1&gt; </w:t>
      </w:r>
      <w:hyperlink r:id="rId18">
        <w:r>
          <w:rPr>
            <w:color w:val="0000FF"/>
          </w:rPr>
          <w:t>Приказ</w:t>
        </w:r>
      </w:hyperlink>
      <w:r>
        <w:t xml:space="preserve"> Минсельхоза России от 28.07.2023 N 656 "Об утверждении Методики расчета предельных размеров ставок для расчета размера субсидий при сельскохозяйственном страховании урожая сельскохозяйственной культуры, посадок многолетних насаждений, сельскохозяйственных животных, объектов товарной аквакультуры (товарного рыбоводства), рассчитанных в том числе с использованием актуарных методов и дифференцированных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сельскохозяйственных культур, а также участия страхователя в риске" (зарегистрирован Минюстом России 20.09.2023, регистрационный N 75283).</w:t>
      </w:r>
    </w:p>
    <w:p w:rsidR="00811DD1" w:rsidRDefault="00811DD1">
      <w:pPr>
        <w:pStyle w:val="ConsPlusNormal"/>
        <w:spacing w:before="220"/>
        <w:ind w:firstLine="540"/>
        <w:jc w:val="both"/>
      </w:pPr>
      <w:bookmarkStart w:id="9" w:name="P31302"/>
      <w:bookmarkEnd w:id="9"/>
      <w:r>
        <w:t xml:space="preserve">&lt;2&gt; </w:t>
      </w:r>
      <w:hyperlink r:id="rId19">
        <w:r>
          <w:rPr>
            <w:color w:val="0000FF"/>
          </w:rPr>
          <w:t>Пункт 1 части 2 статьи 8</w:t>
        </w:r>
      </w:hyperlink>
      <w:r>
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хозяйства".</w:t>
      </w:r>
    </w:p>
    <w:p w:rsidR="00811DD1" w:rsidRDefault="00811DD1">
      <w:pPr>
        <w:pStyle w:val="ConsPlusNormal"/>
        <w:jc w:val="both"/>
      </w:pPr>
      <w:r>
        <w:t xml:space="preserve">(сноска введена </w:t>
      </w:r>
      <w:hyperlink r:id="rId20">
        <w:r>
          <w:rPr>
            <w:color w:val="0000FF"/>
          </w:rPr>
          <w:t>Приказом</w:t>
        </w:r>
      </w:hyperlink>
      <w:r>
        <w:t xml:space="preserve"> Минсельхоза России от 21.02.2025 N 98)</w:t>
      </w: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jc w:val="right"/>
        <w:outlineLvl w:val="1"/>
      </w:pPr>
      <w:r>
        <w:t>Приложение N 6</w:t>
      </w:r>
    </w:p>
    <w:p w:rsidR="00811DD1" w:rsidRDefault="00811DD1">
      <w:pPr>
        <w:pStyle w:val="ConsPlusNormal"/>
        <w:jc w:val="right"/>
      </w:pPr>
      <w:r>
        <w:t>к Плану сельскохозяйственного</w:t>
      </w:r>
    </w:p>
    <w:p w:rsidR="00811DD1" w:rsidRDefault="00811DD1">
      <w:pPr>
        <w:pStyle w:val="ConsPlusNormal"/>
        <w:jc w:val="right"/>
      </w:pPr>
      <w:r>
        <w:t>страхования на 2025 год</w:t>
      </w: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Title"/>
        <w:jc w:val="center"/>
      </w:pPr>
      <w:bookmarkStart w:id="10" w:name="P31313"/>
      <w:bookmarkEnd w:id="10"/>
      <w:r>
        <w:t>ПРЕДЕЛЬНЫЕ РАЗМЕРЫ СТАВОК</w:t>
      </w:r>
    </w:p>
    <w:p w:rsidR="00811DD1" w:rsidRDefault="00811DD1">
      <w:pPr>
        <w:pStyle w:val="ConsPlusTitle"/>
        <w:jc w:val="center"/>
      </w:pPr>
      <w:r>
        <w:t>ДЛЯ РАСЧЕТА РАЗМЕРА СУБСИДИЙ ПРИ СЕЛЬСКОХОЗЯЙСТВЕННОМ</w:t>
      </w:r>
    </w:p>
    <w:p w:rsidR="00811DD1" w:rsidRDefault="00811DD1">
      <w:pPr>
        <w:pStyle w:val="ConsPlusTitle"/>
        <w:jc w:val="center"/>
      </w:pPr>
      <w:r>
        <w:t>СТРАХОВАНИИ ОБЪЕКТОВ ТОВАРНОЙ АКВАКУЛЬТУРЫ (ТОВАРНОГО</w:t>
      </w:r>
    </w:p>
    <w:p w:rsidR="00811DD1" w:rsidRDefault="00811DD1">
      <w:pPr>
        <w:pStyle w:val="ConsPlusTitle"/>
        <w:jc w:val="center"/>
      </w:pPr>
      <w:r>
        <w:t>РЫБОВОДСТВА), РАССЧИТАННЫЕ В ТОМ ЧИСЛЕ С ИСПОЛЬЗОВАНИЕМ</w:t>
      </w:r>
    </w:p>
    <w:p w:rsidR="00811DD1" w:rsidRDefault="00811DD1">
      <w:pPr>
        <w:pStyle w:val="ConsPlusTitle"/>
        <w:jc w:val="center"/>
      </w:pPr>
      <w:r>
        <w:t>АКТУАРНЫХ МЕТОДОВ И ДИФФЕРЕНЦИРОВАННЫЕ ОТНОСИТЕЛЬНО</w:t>
      </w:r>
    </w:p>
    <w:p w:rsidR="00811DD1" w:rsidRDefault="00811DD1">
      <w:pPr>
        <w:pStyle w:val="ConsPlusTitle"/>
        <w:jc w:val="center"/>
      </w:pPr>
      <w:r>
        <w:t>СУБЪЕКТОВ РОССИЙСКОЙ ФЕДЕРАЦИИ И ОБЪЕКТОВ</w:t>
      </w:r>
    </w:p>
    <w:p w:rsidR="00811DD1" w:rsidRDefault="00811DD1">
      <w:pPr>
        <w:pStyle w:val="ConsPlusTitle"/>
        <w:jc w:val="center"/>
      </w:pPr>
      <w:r>
        <w:t>СЕЛЬСКОХОЗЯЙСТВЕННОГО СТРАХОВАНИЯ С УЧЕТОМ УЧАСТИЯ</w:t>
      </w:r>
    </w:p>
    <w:p w:rsidR="00811DD1" w:rsidRDefault="00811DD1">
      <w:pPr>
        <w:pStyle w:val="ConsPlusTitle"/>
        <w:jc w:val="center"/>
      </w:pPr>
      <w:r>
        <w:t>СТРАХОВАТЕЛЯ В РИСКЕ</w:t>
      </w:r>
    </w:p>
    <w:p w:rsidR="00811DD1" w:rsidRDefault="00811D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619"/>
        <w:gridCol w:w="542"/>
        <w:gridCol w:w="542"/>
        <w:gridCol w:w="542"/>
        <w:gridCol w:w="542"/>
        <w:gridCol w:w="624"/>
      </w:tblGrid>
      <w:tr w:rsidR="00811DD1">
        <w:tc>
          <w:tcPr>
            <w:tcW w:w="3402" w:type="dxa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5679" w:type="dxa"/>
            <w:gridSpan w:val="7"/>
          </w:tcPr>
          <w:p w:rsidR="00811DD1" w:rsidRDefault="00811DD1">
            <w:pPr>
              <w:pStyle w:val="ConsPlusNormal"/>
              <w:jc w:val="center"/>
            </w:pPr>
            <w:r>
              <w:t xml:space="preserve">Предельные размеры ставок для расчета размера субсидий по объекту сельскохозяйственного страхования, в процентах (в случае если в договоре сельскохозяйственного страхования в отношении объекта страхования установлены разные размеры доли участия страхователя в риске по разным событиям, предусмотренным </w:t>
            </w:r>
            <w:hyperlink r:id="rId21">
              <w:r>
                <w:rPr>
                  <w:color w:val="0000FF"/>
                </w:rPr>
                <w:t>частью 3 статьи 8</w:t>
              </w:r>
            </w:hyperlink>
            <w:r>
      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хозяйства", применяется предельный размер ставки для расчета размера субсидий, соответствующий наибольшей доле участия страхователя в риске по объекту страхования из числа указанных в договоре сельскохозяйственного страхования по конкретному объекту страхования; в случае если в договоре сельскохозяйственного страхования отражено условие о применении доли участия страхователя в риске, отличной </w:t>
            </w:r>
            <w:r>
              <w:lastRenderedPageBreak/>
              <w:t>от указанных величин, применяется предельный размер ставки для расчета размера субсидий, соответствующий ближайшему большему значению доли участия страхователя в риске)</w:t>
            </w:r>
          </w:p>
        </w:tc>
      </w:tr>
      <w:tr w:rsidR="00811DD1">
        <w:tc>
          <w:tcPr>
            <w:tcW w:w="3402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811DD1" w:rsidRDefault="00811DD1">
            <w:pPr>
              <w:pStyle w:val="ConsPlusNormal"/>
              <w:jc w:val="center"/>
            </w:pPr>
            <w:r>
              <w:t>Без участия страхователя в риске</w:t>
            </w:r>
          </w:p>
        </w:tc>
        <w:tc>
          <w:tcPr>
            <w:tcW w:w="3411" w:type="dxa"/>
            <w:gridSpan w:val="6"/>
          </w:tcPr>
          <w:p w:rsidR="00811DD1" w:rsidRDefault="00811DD1">
            <w:pPr>
              <w:pStyle w:val="ConsPlusNormal"/>
              <w:jc w:val="center"/>
            </w:pPr>
            <w:r>
              <w:t>С учетом доли участия страхователя в риске (в процентах от страховой суммы)</w:t>
            </w:r>
          </w:p>
        </w:tc>
      </w:tr>
      <w:tr w:rsidR="00811DD1">
        <w:tc>
          <w:tcPr>
            <w:tcW w:w="3402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2268" w:type="dxa"/>
            <w:vMerge/>
          </w:tcPr>
          <w:p w:rsidR="00811DD1" w:rsidRDefault="00811DD1">
            <w:pPr>
              <w:pStyle w:val="ConsPlusNormal"/>
            </w:pPr>
          </w:p>
        </w:tc>
        <w:tc>
          <w:tcPr>
            <w:tcW w:w="619" w:type="dxa"/>
          </w:tcPr>
          <w:p w:rsidR="00811DD1" w:rsidRDefault="00811D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2" w:type="dxa"/>
          </w:tcPr>
          <w:p w:rsidR="00811DD1" w:rsidRDefault="00811D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2" w:type="dxa"/>
          </w:tcPr>
          <w:p w:rsidR="00811DD1" w:rsidRDefault="00811DD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2" w:type="dxa"/>
          </w:tcPr>
          <w:p w:rsidR="00811DD1" w:rsidRDefault="00811D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2" w:type="dxa"/>
          </w:tcPr>
          <w:p w:rsidR="00811DD1" w:rsidRDefault="00811D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811DD1" w:rsidRDefault="00811DD1">
            <w:pPr>
              <w:pStyle w:val="ConsPlusNormal"/>
              <w:jc w:val="center"/>
            </w:pPr>
            <w:r>
              <w:t>30</w:t>
            </w:r>
          </w:p>
        </w:tc>
      </w:tr>
      <w:tr w:rsidR="00811DD1">
        <w:tc>
          <w:tcPr>
            <w:tcW w:w="9081" w:type="dxa"/>
            <w:gridSpan w:val="8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Лососевые виды рыб</w:t>
            </w:r>
          </w:p>
        </w:tc>
      </w:tr>
      <w:tr w:rsidR="00811DD1">
        <w:tc>
          <w:tcPr>
            <w:tcW w:w="3402" w:type="dxa"/>
            <w:vAlign w:val="center"/>
          </w:tcPr>
          <w:p w:rsidR="00811DD1" w:rsidRDefault="00811DD1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26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619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</w:t>
            </w:r>
          </w:p>
        </w:tc>
      </w:tr>
      <w:tr w:rsidR="00811DD1">
        <w:tc>
          <w:tcPr>
            <w:tcW w:w="3402" w:type="dxa"/>
            <w:vAlign w:val="center"/>
          </w:tcPr>
          <w:p w:rsidR="00811DD1" w:rsidRDefault="00811DD1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26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619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</w:t>
            </w:r>
          </w:p>
        </w:tc>
      </w:tr>
      <w:tr w:rsidR="00811DD1">
        <w:tc>
          <w:tcPr>
            <w:tcW w:w="3402" w:type="dxa"/>
            <w:vAlign w:val="center"/>
          </w:tcPr>
          <w:p w:rsidR="00811DD1" w:rsidRDefault="00811DD1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26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619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</w:t>
            </w:r>
          </w:p>
        </w:tc>
      </w:tr>
      <w:tr w:rsidR="00811DD1">
        <w:tc>
          <w:tcPr>
            <w:tcW w:w="3402" w:type="dxa"/>
            <w:vAlign w:val="center"/>
          </w:tcPr>
          <w:p w:rsidR="00811DD1" w:rsidRDefault="00811DD1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26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619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</w:t>
            </w:r>
          </w:p>
        </w:tc>
      </w:tr>
      <w:tr w:rsidR="00811DD1">
        <w:tc>
          <w:tcPr>
            <w:tcW w:w="3402" w:type="dxa"/>
            <w:vAlign w:val="center"/>
          </w:tcPr>
          <w:p w:rsidR="00811DD1" w:rsidRDefault="00811DD1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226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619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3,2</w:t>
            </w:r>
          </w:p>
        </w:tc>
      </w:tr>
      <w:tr w:rsidR="00811DD1">
        <w:tc>
          <w:tcPr>
            <w:tcW w:w="9081" w:type="dxa"/>
            <w:gridSpan w:val="8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Осетровые виды рыб</w:t>
            </w:r>
          </w:p>
        </w:tc>
      </w:tr>
      <w:tr w:rsidR="00811DD1">
        <w:tc>
          <w:tcPr>
            <w:tcW w:w="3402" w:type="dxa"/>
            <w:vAlign w:val="center"/>
          </w:tcPr>
          <w:p w:rsidR="00811DD1" w:rsidRDefault="00811DD1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226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619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3,4</w:t>
            </w:r>
          </w:p>
        </w:tc>
      </w:tr>
      <w:tr w:rsidR="00811DD1">
        <w:tc>
          <w:tcPr>
            <w:tcW w:w="9081" w:type="dxa"/>
            <w:gridSpan w:val="8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Карповые виды рыб, сомовые виды рыб</w:t>
            </w:r>
          </w:p>
        </w:tc>
      </w:tr>
      <w:tr w:rsidR="00811DD1">
        <w:tc>
          <w:tcPr>
            <w:tcW w:w="3402" w:type="dxa"/>
            <w:vAlign w:val="center"/>
          </w:tcPr>
          <w:p w:rsidR="00811DD1" w:rsidRDefault="00811DD1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26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619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3,5</w:t>
            </w:r>
          </w:p>
        </w:tc>
      </w:tr>
      <w:tr w:rsidR="00811DD1">
        <w:tc>
          <w:tcPr>
            <w:tcW w:w="3402" w:type="dxa"/>
            <w:vAlign w:val="center"/>
          </w:tcPr>
          <w:p w:rsidR="00811DD1" w:rsidRDefault="00811DD1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226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19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1,8</w:t>
            </w:r>
          </w:p>
        </w:tc>
      </w:tr>
      <w:tr w:rsidR="00811DD1">
        <w:tc>
          <w:tcPr>
            <w:tcW w:w="9081" w:type="dxa"/>
            <w:gridSpan w:val="8"/>
            <w:vAlign w:val="center"/>
          </w:tcPr>
          <w:p w:rsidR="00811DD1" w:rsidRDefault="00811DD1">
            <w:pPr>
              <w:pStyle w:val="ConsPlusNormal"/>
              <w:jc w:val="center"/>
              <w:outlineLvl w:val="2"/>
            </w:pPr>
            <w:r>
              <w:t>Беспозвоночные</w:t>
            </w:r>
          </w:p>
        </w:tc>
      </w:tr>
      <w:tr w:rsidR="00811DD1">
        <w:tc>
          <w:tcPr>
            <w:tcW w:w="3402" w:type="dxa"/>
            <w:vAlign w:val="center"/>
          </w:tcPr>
          <w:p w:rsidR="00811DD1" w:rsidRDefault="00811DD1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2268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619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542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624" w:type="dxa"/>
            <w:vAlign w:val="center"/>
          </w:tcPr>
          <w:p w:rsidR="00811DD1" w:rsidRDefault="00811DD1">
            <w:pPr>
              <w:pStyle w:val="ConsPlusNormal"/>
              <w:jc w:val="right"/>
            </w:pPr>
            <w:r>
              <w:t>1,3</w:t>
            </w:r>
          </w:p>
        </w:tc>
      </w:tr>
    </w:tbl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ind w:firstLine="540"/>
        <w:jc w:val="both"/>
      </w:pPr>
    </w:p>
    <w:p w:rsidR="00811DD1" w:rsidRDefault="00811D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075" w:rsidRDefault="00811DD1">
      <w:bookmarkStart w:id="11" w:name="_GoBack"/>
      <w:bookmarkEnd w:id="11"/>
    </w:p>
    <w:sectPr w:rsidR="009D007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D1"/>
    <w:rsid w:val="004C6349"/>
    <w:rsid w:val="00811DD1"/>
    <w:rsid w:val="00B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066FE-9CD6-4EBB-B0EA-152B660F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1D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1D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11D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1D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1D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310&amp;dst=323" TargetMode="External"/><Relationship Id="rId13" Type="http://schemas.openxmlformats.org/officeDocument/2006/relationships/hyperlink" Target="https://login.consultant.ru/link/?req=doc&amp;base=LAW&amp;n=457899&amp;dst=100012" TargetMode="External"/><Relationship Id="rId18" Type="http://schemas.openxmlformats.org/officeDocument/2006/relationships/hyperlink" Target="https://login.consultant.ru/link/?req=doc&amp;base=LAW&amp;n=4578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997&amp;dst=80" TargetMode="External"/><Relationship Id="rId7" Type="http://schemas.openxmlformats.org/officeDocument/2006/relationships/hyperlink" Target="https://login.consultant.ru/link/?req=doc&amp;base=LAW&amp;n=454997&amp;dst=188" TargetMode="External"/><Relationship Id="rId12" Type="http://schemas.openxmlformats.org/officeDocument/2006/relationships/hyperlink" Target="https://login.consultant.ru/link/?req=doc&amp;base=LAW&amp;n=454997&amp;dst=128" TargetMode="External"/><Relationship Id="rId17" Type="http://schemas.openxmlformats.org/officeDocument/2006/relationships/hyperlink" Target="https://login.consultant.ru/link/?req=doc&amp;base=LAW&amp;n=457899&amp;dst=1001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997&amp;dst=129" TargetMode="External"/><Relationship Id="rId20" Type="http://schemas.openxmlformats.org/officeDocument/2006/relationships/hyperlink" Target="https://login.consultant.ru/link/?req=doc&amp;base=LAW&amp;n=502003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997&amp;dst=100021" TargetMode="External"/><Relationship Id="rId11" Type="http://schemas.openxmlformats.org/officeDocument/2006/relationships/hyperlink" Target="https://login.consultant.ru/link/?req=doc&amp;base=LAW&amp;n=454997&amp;dst=126" TargetMode="External"/><Relationship Id="rId5" Type="http://schemas.openxmlformats.org/officeDocument/2006/relationships/hyperlink" Target="https://login.consultant.ru/link/?req=doc&amp;base=LAW&amp;n=502003&amp;dst=100006" TargetMode="External"/><Relationship Id="rId15" Type="http://schemas.openxmlformats.org/officeDocument/2006/relationships/hyperlink" Target="https://login.consultant.ru/link/?req=doc&amp;base=LAW&amp;n=502003&amp;dst=1000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512055&amp;dst=83861" TargetMode="External"/><Relationship Id="rId19" Type="http://schemas.openxmlformats.org/officeDocument/2006/relationships/hyperlink" Target="https://login.consultant.ru/link/?req=doc&amp;base=LAW&amp;n=454997&amp;dst=13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2003&amp;dst=100006" TargetMode="External"/><Relationship Id="rId14" Type="http://schemas.openxmlformats.org/officeDocument/2006/relationships/hyperlink" Target="https://login.consultant.ru/link/?req=doc&amp;base=LAW&amp;n=45789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29459</Words>
  <Characters>167921</Characters>
  <Application>Microsoft Office Word</Application>
  <DocSecurity>0</DocSecurity>
  <Lines>1399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Малова</dc:creator>
  <cp:keywords/>
  <dc:description/>
  <cp:lastModifiedBy>Елена Малова</cp:lastModifiedBy>
  <cp:revision>2</cp:revision>
  <dcterms:created xsi:type="dcterms:W3CDTF">2025-08-26T12:38:00Z</dcterms:created>
  <dcterms:modified xsi:type="dcterms:W3CDTF">2025-08-26T12:40:00Z</dcterms:modified>
</cp:coreProperties>
</file>