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A0" w:rsidRDefault="00775DA0" w:rsidP="00775DA0">
      <w:pPr>
        <w:pStyle w:val="ConsPlusNormal"/>
        <w:jc w:val="right"/>
        <w:outlineLvl w:val="0"/>
      </w:pPr>
      <w:r>
        <w:t>Утверждено</w:t>
      </w:r>
    </w:p>
    <w:p w:rsidR="00775DA0" w:rsidRDefault="00775DA0" w:rsidP="00775DA0">
      <w:pPr>
        <w:pStyle w:val="ConsPlusNormal"/>
        <w:jc w:val="right"/>
      </w:pPr>
      <w:r>
        <w:t>приказом министерства сельского</w:t>
      </w:r>
    </w:p>
    <w:p w:rsidR="00775DA0" w:rsidRDefault="00775DA0" w:rsidP="00775DA0">
      <w:pPr>
        <w:pStyle w:val="ConsPlusNormal"/>
        <w:jc w:val="right"/>
      </w:pPr>
      <w:r>
        <w:t>хозяйства и продовольственных</w:t>
      </w:r>
    </w:p>
    <w:p w:rsidR="00775DA0" w:rsidRDefault="00775DA0" w:rsidP="00775DA0">
      <w:pPr>
        <w:pStyle w:val="ConsPlusNormal"/>
        <w:jc w:val="right"/>
      </w:pPr>
      <w:r>
        <w:t>ресурсов Нижегородской области</w:t>
      </w:r>
    </w:p>
    <w:p w:rsidR="00775DA0" w:rsidRDefault="00775DA0" w:rsidP="00775DA0">
      <w:pPr>
        <w:pStyle w:val="ConsPlusNormal"/>
        <w:jc w:val="right"/>
      </w:pPr>
      <w:r>
        <w:t>от 27.08.2020 N 151</w:t>
      </w:r>
    </w:p>
    <w:p w:rsidR="00775DA0" w:rsidRDefault="00775DA0" w:rsidP="00775DA0">
      <w:pPr>
        <w:pStyle w:val="ConsPlusNormal"/>
        <w:ind w:firstLine="540"/>
        <w:jc w:val="both"/>
      </w:pPr>
    </w:p>
    <w:p w:rsidR="00775DA0" w:rsidRDefault="00775DA0" w:rsidP="00775DA0">
      <w:pPr>
        <w:pStyle w:val="ConsPlusTitle"/>
        <w:jc w:val="center"/>
      </w:pPr>
      <w:bookmarkStart w:id="0" w:name="P38"/>
      <w:bookmarkEnd w:id="0"/>
      <w:r>
        <w:t>ПОЛОЖЕНИЕ</w:t>
      </w:r>
    </w:p>
    <w:p w:rsidR="00775DA0" w:rsidRDefault="00775DA0" w:rsidP="00775DA0">
      <w:pPr>
        <w:pStyle w:val="ConsPlusTitle"/>
        <w:jc w:val="center"/>
      </w:pPr>
      <w:r>
        <w:t>О ПОРЯДКЕ РАБОТЫ КОМИССИИ ПО СОБЛЮДЕНИЮ ТРЕБОВАНИЙ</w:t>
      </w:r>
    </w:p>
    <w:p w:rsidR="00775DA0" w:rsidRDefault="00775DA0" w:rsidP="00775DA0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775DA0" w:rsidRDefault="00775DA0" w:rsidP="00775DA0">
      <w:pPr>
        <w:pStyle w:val="ConsPlusTitle"/>
        <w:jc w:val="center"/>
      </w:pPr>
      <w:r>
        <w:t>И УРЕГУЛИРОВАНИЮ КОНФЛИКТА ИНТЕРЕСОВ</w:t>
      </w:r>
    </w:p>
    <w:p w:rsidR="00775DA0" w:rsidRDefault="00775DA0" w:rsidP="00775DA0">
      <w:pPr>
        <w:pStyle w:val="ConsPlusNormal"/>
        <w:ind w:firstLine="540"/>
        <w:jc w:val="both"/>
      </w:pPr>
    </w:p>
    <w:p w:rsidR="00775DA0" w:rsidRDefault="00775DA0" w:rsidP="00775DA0">
      <w:pPr>
        <w:pStyle w:val="ConsPlusNormal"/>
        <w:jc w:val="center"/>
      </w:pPr>
      <w:r>
        <w:t>(далее - Положение)</w:t>
      </w:r>
    </w:p>
    <w:p w:rsidR="00775DA0" w:rsidRDefault="00775DA0" w:rsidP="00775DA0">
      <w:pPr>
        <w:pStyle w:val="ConsPlusNormal"/>
        <w:ind w:firstLine="540"/>
        <w:jc w:val="both"/>
      </w:pPr>
    </w:p>
    <w:p w:rsidR="00775DA0" w:rsidRDefault="00775DA0" w:rsidP="00775DA0">
      <w:pPr>
        <w:pStyle w:val="ConsPlusNormal"/>
        <w:ind w:firstLine="540"/>
        <w:jc w:val="both"/>
      </w:pPr>
      <w:r>
        <w:t>1. 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 и урегулированию конфликта интересов, образуемой в министерстве сельского хозяйства и продовольственных ресурсов Нижегородской области (далее - комиссия).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2. Полномочия комиссии распространяются на государственных гражданских служащих, представителем нанимателя для которых является министр сельского хозяйства и продовольственных ресурсов Нижегородской области (далее - министр).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 xml:space="preserve">3. Комиссия в своей деятельности руководствуется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6" w:history="1">
        <w:r>
          <w:rPr>
            <w:color w:val="0000FF"/>
          </w:rPr>
          <w:t>Уставом</w:t>
        </w:r>
      </w:hyperlink>
      <w:r>
        <w:t xml:space="preserve"> Нижегородской области, законами и иными правовыми актами Нижегородской области, приказами министерства сельского хозяйства и продовольственных ресурсов Нижегородской области (далее - министерство), приказами управления делами Правительства и развития кадрового потенциала Нижегородской области (далее - управление делами), настоящим Положением.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4. Основной задачей комиссии является содействие: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 xml:space="preserve">а) в обеспечении соблюдения государственными гражданскими служащими (далее - государственные служащие) министерства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(далее - Федеральный закон "О противодействии коррупции"),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б) в осуществлении в министерстве мер по предупреждению коррупции.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5. Комиссия образуется приказом министерства, которым утверждаются состав комиссии и порядок ее работы.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министром из числа членов комиссии, замещающих должности государственной гражданской службы в министерстве,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6. В состав комиссии входят: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 xml:space="preserve">а) заместитель министра (председатель комиссии), государственные служащие юридического (правового) подразделения, других подразделений министерства по решению </w:t>
      </w:r>
      <w:r>
        <w:lastRenderedPageBreak/>
        <w:t>министра;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б) государственный служащий отдела по профилактике коррупционных и иных правонарушений департамента государственной гражданской и муниципальной службы управления делами (далее - отдел по профилактике коррупционных и иных правонарушений) (секретарь комиссии), государственный служащий органа Нижегородской области по профилактике коррупционных и иных правонарушений;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7. Министр может принять решение о включении в состав комиссии представителя Общественного совета при министерстве.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8. Лица, указанные в подпунктах "б" и "в" пункта 6 и пункте 7 настоящего Положения, включаются в состав комиссии по согласованию с управлением делами, органом Нижегородской области по профилактике коррупционных и иных правонарушений, Общественным советом при министерстве, научными организациями и образовательными учреждениями среднего, высшего и дополнительного профессионального образования. Согласование осуществляется в 10-дневный срок со дня получения запроса.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9. Число членов комиссии, не замещающих должности государственной гражданской службы в министерстве, должно составлять не менее одной четверти от общего числа членов комиссии.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11. В заседаниях комиссии с правом совещательного голоса участвуют: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министерстве должности государственной гражданской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bookmarkStart w:id="1" w:name="P63"/>
      <w:bookmarkEnd w:id="1"/>
      <w:r>
        <w:t>б) другие государственные служащие, замещающие должности государственной гражданской службы в министерстве,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органов, органов местного самоуправления муниципальных образований Нижегородской области;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гражданской службы в министерстве, недопустимо.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lastRenderedPageBreak/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14.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по профилактике коррупционных и иных правонарушений.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bookmarkStart w:id="2" w:name="P67"/>
      <w:bookmarkEnd w:id="2"/>
      <w:r>
        <w:t>15. Основаниями для проведения заседания комиссии являются: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bookmarkStart w:id="3" w:name="P68"/>
      <w:bookmarkEnd w:id="3"/>
      <w:r>
        <w:t xml:space="preserve">а) представление министром в соответствии с </w:t>
      </w:r>
      <w:hyperlink r:id="rId8" w:history="1">
        <w:r>
          <w:rPr>
            <w:color w:val="0000FF"/>
          </w:rPr>
          <w:t>пунктом 26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Нижегородской области, и государственными гражданскими служащими Нижегородской области, и соблюдения государственными гражданскими служащими Нижегородской области требований к служебному поведению, утвержденного Указом Губернатора Нижегородской области от 22 апреля 2010 г. N 14, материалов проверки, свидетельствующих: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bookmarkStart w:id="4" w:name="P69"/>
      <w:bookmarkEnd w:id="4"/>
      <w:r>
        <w:t xml:space="preserve">о представлении государственным служащим недостоверных или неполных сведений, предусмотренных </w:t>
      </w:r>
      <w:hyperlink r:id="rId9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bookmarkStart w:id="5" w:name="P70"/>
      <w:bookmarkEnd w:id="5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bookmarkStart w:id="6" w:name="P71"/>
      <w:bookmarkEnd w:id="6"/>
      <w:r>
        <w:t>б) поступившее в отдел по профилактике коррупционных и иных правонарушений в порядке, установленном приказом управления делами: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bookmarkStart w:id="7" w:name="P72"/>
      <w:bookmarkEnd w:id="7"/>
      <w:r>
        <w:t>обращение гражданина, замещавшего в министерстве должность государственной гражданской службы, включенную в перечень должностей, замещение которых связано с коррупционными рисками, утвержденный приказом министерства,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службы;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bookmarkStart w:id="8" w:name="P73"/>
      <w:bookmarkEnd w:id="8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bookmarkStart w:id="9" w:name="P74"/>
      <w:bookmarkEnd w:id="9"/>
      <w:r>
        <w:t xml:space="preserve">заявление государственного служащего о невозможности выполнить требования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</w:t>
      </w:r>
      <w:r>
        <w:lastRenderedPageBreak/>
        <w:t>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bookmarkStart w:id="10" w:name="P75"/>
      <w:bookmarkEnd w:id="10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bookmarkStart w:id="11" w:name="P76"/>
      <w:bookmarkEnd w:id="11"/>
      <w:r>
        <w:t>в) представление министра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bookmarkStart w:id="12" w:name="P77"/>
      <w:bookmarkEnd w:id="12"/>
      <w:r>
        <w:t xml:space="preserve">г) представление министром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bookmarkStart w:id="13" w:name="P78"/>
      <w:bookmarkEnd w:id="13"/>
      <w:r>
        <w:t xml:space="preserve">д) поступившее в соответствии с </w:t>
      </w:r>
      <w:hyperlink r:id="rId1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и </w:t>
      </w:r>
      <w:hyperlink r:id="rId1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государственной гражданской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министерстве,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bookmarkStart w:id="14" w:name="P80"/>
      <w:bookmarkEnd w:id="14"/>
      <w:r>
        <w:t xml:space="preserve">17. Обращение, указанное в </w:t>
      </w:r>
      <w:hyperlink w:anchor="P72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подается гражданином, замещавшим должность государственной гражданской службы в министерстве, в отдел по профилактике коррупционных и иных правонарушений. В обращении указываются: фамилия, имя, </w:t>
      </w:r>
      <w:r w:rsidRPr="00AA2916">
        <w:t>отчество гражданина</w:t>
      </w:r>
      <w:r>
        <w:t xml:space="preserve">, дата его рождения, адрес места жительства, замещаемые должности в течение последних двух лет со дня увольнения с государственной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департамента государственной гражданской и муниципальной службы управления делами по существу обращения с учетом требований </w:t>
      </w:r>
      <w:hyperlink r:id="rId14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 xml:space="preserve">18. Обращение, указанное в </w:t>
      </w:r>
      <w:hyperlink w:anchor="P72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гражданской службы, и подлежит рассмотрению комиссией в соответствии с </w:t>
      </w:r>
      <w:r>
        <w:lastRenderedPageBreak/>
        <w:t>настоящим Положением.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bookmarkStart w:id="15" w:name="P82"/>
      <w:bookmarkEnd w:id="15"/>
      <w:r>
        <w:t xml:space="preserve">19. Уведомление, указанное в </w:t>
      </w:r>
      <w:hyperlink w:anchor="P75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рассматривается отделом по профилактике коррупционных и иных правонарушений, осуществляющим подготовку мотивированного заключения департамента государственной гражданской и муниципальной службы управления делами по результатам рассмотрения уведомления.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bookmarkStart w:id="16" w:name="P83"/>
      <w:bookmarkEnd w:id="16"/>
      <w:r>
        <w:t xml:space="preserve">20. Уведомление, указанное в </w:t>
      </w:r>
      <w:hyperlink w:anchor="P78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рассматривается отделом по профилактике коррупционных и иных правонарушений, который осуществляет подготовку мотивированного заключения департамента государственной гражданской и муниципальной службы управления делами о соблюдении гражданином, замещавшим должность государственной гражданской службы в министерстве, требований </w:t>
      </w:r>
      <w:hyperlink r:id="rId15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 xml:space="preserve">21. При подготовке мотивированного заключения департамента государственной гражданской и муниципальной службы управления делами по результатам рассмотрения обращения, указанного в </w:t>
      </w:r>
      <w:hyperlink w:anchor="P72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или уведомлений, указанных в </w:t>
      </w:r>
      <w:hyperlink w:anchor="P75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78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должностные лица отдела по профилактике коррупционных и иных правонарушений имеют право проводить собеседование с государственным служащим, представившим обращение или уведомление, получать от него письменные пояснения, а управляющий делами Правительства Нижегородской области или директор департамента государственной гражданской и муниципальной службы управления делами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запросов,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 xml:space="preserve">22. Мотивированные заключения, предусмотренные </w:t>
      </w:r>
      <w:hyperlink w:anchor="P80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82" w:history="1">
        <w:r>
          <w:rPr>
            <w:color w:val="0000FF"/>
          </w:rPr>
          <w:t>19</w:t>
        </w:r>
      </w:hyperlink>
      <w:r>
        <w:t xml:space="preserve">, </w:t>
      </w:r>
      <w:hyperlink w:anchor="P83" w:history="1">
        <w:r>
          <w:rPr>
            <w:color w:val="0000FF"/>
          </w:rPr>
          <w:t>20</w:t>
        </w:r>
      </w:hyperlink>
      <w:r>
        <w:t xml:space="preserve"> настоящего Положения, должны содержать: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7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5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78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Положения;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7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5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78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07" w:history="1">
        <w:r>
          <w:rPr>
            <w:color w:val="0000FF"/>
          </w:rPr>
          <w:t>пунктами 32</w:t>
        </w:r>
      </w:hyperlink>
      <w:r>
        <w:t xml:space="preserve">, </w:t>
      </w:r>
      <w:hyperlink w:anchor="P117" w:history="1">
        <w:r>
          <w:rPr>
            <w:color w:val="0000FF"/>
          </w:rPr>
          <w:t>35</w:t>
        </w:r>
      </w:hyperlink>
      <w:r>
        <w:t xml:space="preserve">, </w:t>
      </w:r>
      <w:hyperlink w:anchor="P125" w:history="1">
        <w:r>
          <w:rPr>
            <w:color w:val="0000FF"/>
          </w:rPr>
          <w:t>38</w:t>
        </w:r>
      </w:hyperlink>
      <w:r>
        <w:t xml:space="preserve"> настоящего Положения или иного решения.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23. Председатель комиссии при поступлении к нему в порядке, предусмотренном приказом управления делами, информации, содержащей основания для проведения заседания комиссии: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3" w:history="1">
        <w:r>
          <w:rPr>
            <w:color w:val="0000FF"/>
          </w:rPr>
          <w:t>пунктами 24</w:t>
        </w:r>
      </w:hyperlink>
      <w:r>
        <w:t xml:space="preserve"> и </w:t>
      </w:r>
      <w:hyperlink w:anchor="P94" w:history="1">
        <w:r>
          <w:rPr>
            <w:color w:val="0000FF"/>
          </w:rPr>
          <w:t>25</w:t>
        </w:r>
      </w:hyperlink>
      <w:r>
        <w:t xml:space="preserve"> настоящего Положения;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 xml:space="preserve"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</w:t>
      </w:r>
      <w:r>
        <w:lastRenderedPageBreak/>
        <w:t>участвующих в заседании комиссии, с информацией, поступившей в отдел по профилактике коррупционных и иных правонарушений, и с результатами ее проверки;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63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bookmarkStart w:id="17" w:name="P93"/>
      <w:bookmarkEnd w:id="17"/>
      <w:r>
        <w:t xml:space="preserve">24. Заседание комиссии по рассмотрению заявлений, указанных в </w:t>
      </w:r>
      <w:hyperlink w:anchor="P73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74" w:history="1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bookmarkStart w:id="18" w:name="P94"/>
      <w:bookmarkEnd w:id="18"/>
      <w:r>
        <w:t xml:space="preserve">25. Уведомление, указанное в </w:t>
      </w:r>
      <w:hyperlink w:anchor="P78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 xml:space="preserve">26.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гражданской службы в министерстве.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71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27. Заседания комиссии могут проводиться в отсутствие государственного служащего или гражданина в случае: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а) если в обращении, заявлении или уведомлении, предусмотренных подпунктом "б" пункта 15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28. На заседании комиссии заслушиваются пояснения государственного служащего или гражданина, замещавшего должность государственной гражданской службы в министерстве,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29.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bookmarkStart w:id="19" w:name="P101"/>
      <w:bookmarkEnd w:id="19"/>
      <w:r>
        <w:t xml:space="preserve">30. По итогам рассмотрения вопроса, указанного в </w:t>
      </w:r>
      <w:hyperlink w:anchor="P69" w:history="1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государственным служащим в соответствии с </w:t>
      </w:r>
      <w:hyperlink r:id="rId16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Нижегородской области, и государственными гражданскими служащими Нижегородской области, и соблюдения государственными гражданскими служащими Нижегородской области требований к служебному поведению, утвержденного Указом Губернатора Нижегородской области от 22 апреля 2010 г. N 14, являются достоверными и полными;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17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подпункте "а" настоящего пункта, являются недостоверными и (или) неполными. В этом случае комиссия рекомендует министру применить к государственному служащему конкретную меру ответственности.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указанного в </w:t>
      </w:r>
      <w:hyperlink w:anchor="P70" w:history="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bookmarkStart w:id="20" w:name="P107"/>
      <w:bookmarkEnd w:id="20"/>
      <w:r>
        <w:t xml:space="preserve">32. По итогам рассмотрения вопроса, указанного в </w:t>
      </w:r>
      <w:hyperlink w:anchor="P72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указанного в </w:t>
      </w:r>
      <w:hyperlink w:anchor="P73" w:history="1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государственному служащему конкретную меру ответственности.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 xml:space="preserve">34. По итогам рассмотрения вопроса, указанного в </w:t>
      </w:r>
      <w:hyperlink w:anchor="P74" w:history="1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>
        <w:lastRenderedPageBreak/>
        <w:t>инструментами", являются объективными и уважительными;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министру применить к государственному служащему конкретную меру ответственности.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bookmarkStart w:id="21" w:name="P117"/>
      <w:bookmarkEnd w:id="21"/>
      <w:r>
        <w:t xml:space="preserve">35. По итогам рассмотрения вопроса, указанного в </w:t>
      </w:r>
      <w:hyperlink w:anchor="P75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министру принять меры по урегулированию конфликта интересов или по недопущению его возникновения;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министру применить к государственному служащему конкретную меру ответственности.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 xml:space="preserve">36. По итогам рассмотрения вопроса, предусмотренного </w:t>
      </w:r>
      <w:hyperlink w:anchor="P76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Положения, комиссия принимает соответствующее решение.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bookmarkStart w:id="22" w:name="P122"/>
      <w:bookmarkEnd w:id="22"/>
      <w:r>
        <w:t xml:space="preserve">37. По итогам рассмотрения вопроса, указанного в </w:t>
      </w:r>
      <w:hyperlink w:anchor="P77" w:history="1">
        <w:r>
          <w:rPr>
            <w:color w:val="0000FF"/>
          </w:rPr>
          <w:t>подпункте "г"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20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21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министру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bookmarkStart w:id="23" w:name="P125"/>
      <w:bookmarkEnd w:id="23"/>
      <w:r>
        <w:t xml:space="preserve">38. По итогам рассмотрения вопроса, указанного в </w:t>
      </w:r>
      <w:hyperlink w:anchor="P78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гражданской службы в министерстве, одно из следующих решений: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 В этом случае комиссия рекомендует </w:t>
      </w:r>
      <w:r>
        <w:lastRenderedPageBreak/>
        <w:t>министру проинформировать об указанных обстоятельствах органы прокуратуры и уведомившую организацию.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 xml:space="preserve">39. По итогам рассмотрения вопросов, указанных в </w:t>
      </w:r>
      <w:hyperlink w:anchor="P68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71" w:history="1">
        <w:r>
          <w:rPr>
            <w:color w:val="0000FF"/>
          </w:rPr>
          <w:t>"б"</w:t>
        </w:r>
      </w:hyperlink>
      <w:r>
        <w:t xml:space="preserve">, </w:t>
      </w:r>
      <w:hyperlink w:anchor="P77" w:history="1">
        <w:r>
          <w:rPr>
            <w:color w:val="0000FF"/>
          </w:rPr>
          <w:t>"г"</w:t>
        </w:r>
      </w:hyperlink>
      <w:r>
        <w:t xml:space="preserve">, и </w:t>
      </w:r>
      <w:hyperlink w:anchor="P78" w:history="1">
        <w:r>
          <w:rPr>
            <w:color w:val="0000FF"/>
          </w:rPr>
          <w:t>"д" пункта 15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01" w:history="1">
        <w:r>
          <w:rPr>
            <w:color w:val="0000FF"/>
          </w:rPr>
          <w:t>пунктами 30</w:t>
        </w:r>
      </w:hyperlink>
      <w:r>
        <w:t xml:space="preserve"> - </w:t>
      </w:r>
      <w:hyperlink w:anchor="P117" w:history="1">
        <w:r>
          <w:rPr>
            <w:color w:val="0000FF"/>
          </w:rPr>
          <w:t>35</w:t>
        </w:r>
      </w:hyperlink>
      <w:r>
        <w:t xml:space="preserve">, </w:t>
      </w:r>
      <w:hyperlink w:anchor="P122" w:history="1">
        <w:r>
          <w:rPr>
            <w:color w:val="0000FF"/>
          </w:rPr>
          <w:t>37</w:t>
        </w:r>
      </w:hyperlink>
      <w:r>
        <w:t xml:space="preserve"> - </w:t>
      </w:r>
      <w:hyperlink w:anchor="P125" w:history="1">
        <w:r>
          <w:rPr>
            <w:color w:val="0000FF"/>
          </w:rPr>
          <w:t>38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40. Для исполнения решений комиссии могут быть подготовлены проекты приказов министерства, решений или поручений министра, которые в установленном порядке представляются на рассмотрение министру.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 xml:space="preserve">41. Решения комиссии по вопросам, указанным в </w:t>
      </w:r>
      <w:hyperlink w:anchor="P67" w:history="1">
        <w:r>
          <w:rPr>
            <w:color w:val="0000FF"/>
          </w:rPr>
          <w:t>пункте 15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 xml:space="preserve">42.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2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для министра носят рекомендательный характер. Решение, принимаемое по итогам рассмотрения вопроса, указанного в </w:t>
      </w:r>
      <w:hyperlink w:anchor="P72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носит обязательный характер.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43. В протоколе заседания комиссии указываются: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 xml:space="preserve">д) фамилии, имена, </w:t>
      </w:r>
      <w:r w:rsidRPr="00AB1860">
        <w:rPr>
          <w:highlight w:val="yellow"/>
        </w:rPr>
        <w:t>отчества</w:t>
      </w:r>
      <w:r>
        <w:t xml:space="preserve"> выступивших на заседании лиц и краткое изложение их выступлений;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информации;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44.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 xml:space="preserve">45. Копии протокола заседания комиссии в 7-дневный срок со дня заседания направляются министру, полностью или в виде выписок из него - государственному служащему, а также по </w:t>
      </w:r>
      <w:r>
        <w:lastRenderedPageBreak/>
        <w:t>решению комиссии - иным заинтересованным лицам.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46. Министр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 Решение министра оглашается на ближайшем заседании комиссии и принимается к сведению без обсуждения.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47.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министру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48.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>49.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75DA0" w:rsidRDefault="00775DA0" w:rsidP="00775DA0">
      <w:pPr>
        <w:pStyle w:val="ConsPlusNormal"/>
        <w:spacing w:before="220"/>
        <w:ind w:firstLine="540"/>
        <w:jc w:val="both"/>
      </w:pPr>
      <w:r>
        <w:t xml:space="preserve">50. Выписка из решения комиссии, заверенная подписью секретаря комиссии и печатью министерства, вручается гражданину, замещавшему должность государственной гражданской службы в министерстве, в отношении которого рассматривался вопрос, указанный в </w:t>
      </w:r>
      <w:hyperlink w:anchor="P72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комиссии.".</w:t>
      </w:r>
    </w:p>
    <w:p w:rsidR="00775DA0" w:rsidRDefault="00775DA0" w:rsidP="00775DA0">
      <w:pPr>
        <w:pStyle w:val="ConsPlusNormal"/>
        <w:ind w:firstLine="540"/>
        <w:jc w:val="both"/>
      </w:pPr>
    </w:p>
    <w:p w:rsidR="00775DA0" w:rsidRDefault="00775DA0" w:rsidP="00775DA0">
      <w:pPr>
        <w:pStyle w:val="ConsPlusNormal"/>
        <w:ind w:firstLine="540"/>
        <w:jc w:val="both"/>
      </w:pPr>
    </w:p>
    <w:p w:rsidR="00775DA0" w:rsidRDefault="00775DA0" w:rsidP="00775DA0">
      <w:pPr>
        <w:pStyle w:val="ConsPlusNormal"/>
        <w:ind w:firstLine="540"/>
        <w:jc w:val="both"/>
      </w:pPr>
    </w:p>
    <w:p w:rsidR="00775DA0" w:rsidRDefault="00775DA0" w:rsidP="00775DA0">
      <w:pPr>
        <w:pStyle w:val="ConsPlusNormal"/>
        <w:ind w:firstLine="540"/>
        <w:jc w:val="both"/>
      </w:pPr>
    </w:p>
    <w:p w:rsidR="00775DA0" w:rsidRDefault="00775DA0" w:rsidP="00775DA0">
      <w:pPr>
        <w:pStyle w:val="ConsPlusNormal"/>
        <w:ind w:firstLine="540"/>
        <w:jc w:val="both"/>
      </w:pPr>
    </w:p>
    <w:p w:rsidR="00196DAA" w:rsidRDefault="00775DA0">
      <w:bookmarkStart w:id="24" w:name="_GoBack"/>
      <w:bookmarkEnd w:id="24"/>
    </w:p>
    <w:sectPr w:rsidR="0019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A0"/>
    <w:rsid w:val="00367E22"/>
    <w:rsid w:val="00775DA0"/>
    <w:rsid w:val="00FB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7F96BF7C80FC04932DBC75895F0CE8A328E7C77668B5565C53439465796F83720B74FCA823815A50C1B49CCF36E3AA0F8D0B6BB9DF67B3qFhDI" TargetMode="External"/><Relationship Id="rId13" Type="http://schemas.openxmlformats.org/officeDocument/2006/relationships/hyperlink" Target="consultantplus://offline/ref=1C7F96BF7C80FC04932DA2789F3353EDA726BECB776DBB03070E45C33A2969D6324B72A9EC668F52069BA4988662EBB50A921568A7DFq6h6I" TargetMode="External"/><Relationship Id="rId18" Type="http://schemas.openxmlformats.org/officeDocument/2006/relationships/hyperlink" Target="consultantplus://offline/ref=1C7F96BF7C80FC04932DA2789F3353EDA722BECC736ABB03070E45C33A2969D6204B2AA5EA62925953D4E2CD89q6h2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7F96BF7C80FC04932DA2789F3353EDA62AB0CF706EBB03070E45C33A2969D6324B72A9EB678D5B5AC1B49CCF36E3AA0F8D0B6BB9DF67B3qFhDI" TargetMode="External"/><Relationship Id="rId7" Type="http://schemas.openxmlformats.org/officeDocument/2006/relationships/hyperlink" Target="consultantplus://offline/ref=1C7F96BF7C80FC04932DA2789F3353EDA726B8C8706FBB03070E45C33A2969D6204B2AA5EA62925953D4E2CD89q6h2I" TargetMode="External"/><Relationship Id="rId12" Type="http://schemas.openxmlformats.org/officeDocument/2006/relationships/hyperlink" Target="consultantplus://offline/ref=1C7F96BF7C80FC04932DA2789F3353EDA726B8C8706FBB03070E45C33A2969D6324B72ABE86CD808169FEDCC8E7DEEAA14910B68qAh6I" TargetMode="External"/><Relationship Id="rId17" Type="http://schemas.openxmlformats.org/officeDocument/2006/relationships/hyperlink" Target="consultantplus://offline/ref=1C7F96BF7C80FC04932DBC75895F0CE8A328E7C77668B5565C53439465796F83720B74FCA823815852CAE1CB8B68BAFA4EC6066BA2C367B0E2897C83q6h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7F96BF7C80FC04932DBC75895F0CE8A328E7C77668B5565C53439465796F83720B74FCA823815852CAE1CB8B68BAFA4EC6066BA2C367B0E2897C83q6hFI" TargetMode="External"/><Relationship Id="rId20" Type="http://schemas.openxmlformats.org/officeDocument/2006/relationships/hyperlink" Target="consultantplus://offline/ref=1C7F96BF7C80FC04932DA2789F3353EDA62AB0CF706EBB03070E45C33A2969D6324B72A9EB678D5B5AC1B49CCF36E3AA0F8D0B6BB9DF67B3qFh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7F96BF7C80FC04932DBC75895F0CE8A328E7C77668B0525E5D439465796F83720B74FCBA23D95453CFFECD8A7DECAB08q9h2I" TargetMode="External"/><Relationship Id="rId11" Type="http://schemas.openxmlformats.org/officeDocument/2006/relationships/hyperlink" Target="consultantplus://offline/ref=1C7F96BF7C80FC04932DA2789F3353EDA62AB0CF706EBB03070E45C33A2969D6324B72A9EB678D5B5AC1B49CCF36E3AA0F8D0B6BB9DF67B3qFhD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C7F96BF7C80FC04932DA2789F3353EDA62BBECF7F3FEC01565B4BC6327933C624027EADF5678D4750CAE2qChCI" TargetMode="External"/><Relationship Id="rId15" Type="http://schemas.openxmlformats.org/officeDocument/2006/relationships/hyperlink" Target="consultantplus://offline/ref=1C7F96BF7C80FC04932DA2789F3353EDA726B8C8706FBB03070E45C33A2969D6324B72AAE36CD808169FEDCC8E7DEEAA14910B68qAh6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C7F96BF7C80FC04932DA2789F3353EDA722BECC736ABB03070E45C33A2969D6204B2AA5EA62925953D4E2CD89q6h2I" TargetMode="External"/><Relationship Id="rId19" Type="http://schemas.openxmlformats.org/officeDocument/2006/relationships/hyperlink" Target="consultantplus://offline/ref=1C7F96BF7C80FC04932DA2789F3353EDA722BECC736ABB03070E45C33A2969D6204B2AA5EA62925953D4E2CD89q6h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7F96BF7C80FC04932DBC75895F0CE8A328E7C77668B5565C53439465796F83720B74FCA823815852CAE1CB8B68BAFA4EC6066BA2C367B0E2897C83q6hFI" TargetMode="External"/><Relationship Id="rId14" Type="http://schemas.openxmlformats.org/officeDocument/2006/relationships/hyperlink" Target="consultantplus://offline/ref=1C7F96BF7C80FC04932DA2789F3353EDA726B8C8706FBB03070E45C33A2969D6324B72AAE36CD808169FEDCC8E7DEEAA14910B68qAh6I" TargetMode="External"/><Relationship Id="rId22" Type="http://schemas.openxmlformats.org/officeDocument/2006/relationships/hyperlink" Target="consultantplus://offline/ref=1C7F96BF7C80FC04932DA2789F3353EDA726B8C8706FBB03070E45C33A2969D6324B72AAE36CD808169FEDCC8E7DEEAA14910B68qAh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5316</Words>
  <Characters>30302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Тимакова</dc:creator>
  <cp:lastModifiedBy>Инна В. Тимакова</cp:lastModifiedBy>
  <cp:revision>1</cp:revision>
  <dcterms:created xsi:type="dcterms:W3CDTF">2021-01-19T08:07:00Z</dcterms:created>
  <dcterms:modified xsi:type="dcterms:W3CDTF">2021-01-19T08:08:00Z</dcterms:modified>
</cp:coreProperties>
</file>